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30250" cy="84899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87677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730249" cy="84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50pt;height:66.85pt;mso-wrap-distance-left:0.00pt;mso-wrap-distance-top:0.00pt;mso-wrap-distance-right:0.00pt;mso-wrap-distance-bottom:0.00pt;rotation:0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701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17130" cy="162115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81461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7517129" cy="162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91.90pt;height:127.65pt;mso-wrap-distance-left:0.00pt;mso-wrap-distance-top:0.00pt;mso-wrap-distance-right:0.00pt;mso-wrap-distance-bottom:0.00pt;rotation:0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Еврейской автономной области «Здравоохранение в Еврейской автономной области» на  2024 – </w:t>
      </w:r>
      <w:r>
        <w:rPr>
          <w:rFonts w:ascii="Times New Roman" w:hAnsi="Times New Roman"/>
          <w:sz w:val="28"/>
          <w:szCs w:val="28"/>
        </w:rPr>
        <w:t xml:space="preserve">2028 годы</w:t>
      </w:r>
      <w:r/>
    </w:p>
    <w:p>
      <w:pPr>
        <w:ind w:left="0" w:right="0" w:firstLine="0"/>
        <w:jc w:val="both"/>
        <w:spacing w:after="0" w:line="240" w:lineRule="auto"/>
        <w:widowControl w:val="off"/>
      </w:pPr>
      <w:r/>
      <w:r/>
    </w:p>
    <w:p>
      <w:pPr>
        <w:ind w:left="0" w:right="0" w:firstLine="0"/>
        <w:jc w:val="both"/>
        <w:spacing w:after="0" w:line="240" w:lineRule="auto"/>
        <w:widowControl w:val="off"/>
      </w:pPr>
      <w:r/>
      <w:r/>
    </w:p>
    <w:p>
      <w:pPr>
        <w:ind w:firstLine="720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 от 21.11.2011 № 323-ФЗ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основах охраны здоровья граждан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постановлением правительства Еврейской автономной области от 31.08.2023 № 355-пп «Об утверждении перечня государственных программ Еврейской автономной области, предусмотренных к финансированию из областного бюджета на 2024 год и на плановый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период 2025 и 2026 годов», постановлением правительства Еврейской автономной области от 07.09.2023 № 370-пп «Об утверждении Порядка принятия решений о разработке, формировании, реализации государственных программ Еврейской автономной области и проведения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ценки эффективности их реализации» 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5103" w:leader="none"/>
        </w:tabs>
      </w:pPr>
      <w:r>
        <w:rPr>
          <w:rFonts w:ascii="Times New Roman" w:hAnsi="Times New Roman"/>
          <w:sz w:val="28"/>
          <w:szCs w:val="28"/>
        </w:rPr>
        <w:t xml:space="preserve">1. Утвердить прилагаемую государственную программу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 «Здравоохранение в Еврейской автономной области» на  2024 – </w:t>
      </w:r>
      <w:r>
        <w:rPr>
          <w:rFonts w:ascii="Times New Roman" w:hAnsi="Times New Roman"/>
          <w:sz w:val="28"/>
          <w:szCs w:val="28"/>
        </w:rPr>
        <w:t xml:space="preserve">2028 годы</w:t>
      </w:r>
      <w:r>
        <w:t xml:space="preserve">.</w:t>
      </w:r>
      <w:r/>
    </w:p>
    <w:p>
      <w:pPr>
        <w:pStyle w:val="896"/>
        <w:ind w:firstLine="709"/>
        <w:jc w:val="both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правительства Еврейской автономной области: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23.05.2022 № 205-пп «Об утверждении государственной программы Еврейской автономной области «Здравоохранение в Еврейской автономной области» на 2022 – 2025 годы»;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от 10.06.2022 № 228-пп 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государственную программу Еврейской автономной области «Здравоохранение в Еврейской автономной области» на 2022 – 2024 годы, утвержденную постановлением правительства Еврейской автономной области от 23.05.2022 № 205-пп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/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14.07.2022 № 279-пп</w:t>
      </w:r>
      <w:r>
        <w:rPr>
          <w:rFonts w:ascii="Times New Roman" w:hAnsi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2024 годы, утвержденную постановлением правительства Еврейской автономной области от 23.05.2022 № 205-пп»;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15.09.2022 № 389-пп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2024 годы, утвержденную постановлением правительства Еврейской автономной области от 23.05.2022 № 205-пп»;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13.10.2022 № 426-пп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2024 годы, утвержденную постановлением правительства Еврейской автономной области от 23.05.2022 № 205-пп»;
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09.12.2022 № 531-пп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постановление правительства Еврейской автономной области от 23.05.2022 № 205-пп «Об утверждении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2024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31.01.2023 № 48-пп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изменения в государственную программу Еврейской автономной области «Здравоохранение в Еврейской автономной области» на 2022 - 2025 годы, утвержденную постановлением правительства Еврейской автономной области от 23.05.2022 № 205-пп «Об утверждени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03.02.2023 № 65-пп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государственную программу Еврейской автономной области «Здравоохранение в Еврейской автономной области» на 2022 - 2025 годы, утвержденную постановлением правительства Еврейской автономной области от 23.05.2022 № 205-пп «Об утверждени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21.02.2023 № 105-пп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23.05.2022 № 205-пп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30.03.2023 № 159-пп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23.05.2022 № 205-пп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04.05.2023 № 213-пп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23.05.2022 № 205-пп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16.06.2023 № 278-пп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23.05.2022 № 205-пп «Об утверждени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07.07.2023 № 301-пп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23.05.2022 № 205-пп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03.08.2023 № 331-пп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23.05.2022 № 205-пп «Об утверждени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05.10.2023 № 399-пп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23.05.2022 № 205-пп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02.11.2023 № 445-пп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23.05.2022 № 205-пп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07.12.2023 № 510-пп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23.05.2022 № 205-пп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21.12.2023 № 580-пп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годы, утвержденную постановлением правительства Еврейской автономной области от 23.05.2022 № 205-пп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годы».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распространяется на правоотношения, возникшие с 01 января 2024 года.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ind w:firstLine="709"/>
        <w:jc w:val="both"/>
        <w:widowControl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96"/>
        <w:ind w:firstLine="709"/>
        <w:jc w:val="both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4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________________№_______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Государственная программа Еврейской автономной области «Здравоохранение в Еврейской автономной области» на  2024 – </w:t>
      </w:r>
      <w:r>
        <w:rPr>
          <w:rFonts w:ascii="Times New Roman" w:hAnsi="Times New Roman"/>
          <w:sz w:val="28"/>
          <w:szCs w:val="28"/>
        </w:rPr>
        <w:t xml:space="preserve">2028 годы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I. Стратегические приоритеты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«Здравоохранение в Еврейской автономной области»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color w:val="auto"/>
          <w:highlight w:val="non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 2024 – </w:t>
      </w:r>
      <w:r>
        <w:rPr>
          <w:rFonts w:ascii="Times New Roman" w:hAnsi="Times New Roman"/>
          <w:color w:val="auto"/>
          <w:sz w:val="28"/>
          <w:szCs w:val="28"/>
        </w:rPr>
        <w:t xml:space="preserve">2028 годы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1. Оценка текущего состояния охраны здоровья граждан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Одной из национальных целей </w:t>
      </w:r>
      <w:r>
        <w:rPr>
          <w:rFonts w:ascii="Times New Roman" w:hAnsi="Times New Roman"/>
          <w:sz w:val="28"/>
        </w:rPr>
        <w:t xml:space="preserve">развития Российской Федерации, </w:t>
      </w:r>
      <w:r>
        <w:rPr>
          <w:rFonts w:ascii="Times New Roman" w:hAnsi="Times New Roman"/>
          <w:sz w:val="28"/>
        </w:rPr>
        <w:t xml:space="preserve">в  соответствии с</w:t>
      </w:r>
      <w:r>
        <w:rPr>
          <w:rFonts w:ascii="Times New Roman" w:hAnsi="Times New Roman"/>
          <w:sz w:val="28"/>
        </w:rPr>
        <w:t xml:space="preserve"> Указом Президента </w:t>
      </w:r>
      <w:r>
        <w:rPr>
          <w:rFonts w:ascii="Times New Roman" w:hAnsi="Times New Roman"/>
          <w:sz w:val="28"/>
        </w:rPr>
        <w:t xml:space="preserve">Российской Федерации</w:t>
      </w:r>
      <w:r>
        <w:rPr>
          <w:rFonts w:ascii="Times New Roman" w:hAnsi="Times New Roman"/>
          <w:sz w:val="28"/>
        </w:rPr>
        <w:t xml:space="preserve"> от 21.07.2020                 № 474 </w:t>
      </w:r>
      <w:r>
        <w:rPr>
          <w:rFonts w:ascii="Times New Roman" w:hAnsi="Times New Roman"/>
          <w:sz w:val="28"/>
        </w:rPr>
        <w:t xml:space="preserve">«О национальных целях развития Российской Федерации на период до 2030 года» является </w:t>
      </w:r>
      <w:r>
        <w:rPr>
          <w:rFonts w:ascii="Times New Roman" w:hAnsi="Times New Roman"/>
          <w:sz w:val="28"/>
        </w:rPr>
        <w:t xml:space="preserve">сохранение населения, здоровье и благополучие людей. </w:t>
      </w:r>
      <w:r>
        <w:rPr>
          <w:rFonts w:ascii="Times New Roman" w:hAnsi="Times New Roman"/>
          <w:sz w:val="28"/>
        </w:rPr>
        <w:t xml:space="preserve">Целевым показателем, характеризующим достижение национальн</w:t>
      </w:r>
      <w:r>
        <w:rPr>
          <w:rFonts w:ascii="Times New Roman" w:hAnsi="Times New Roman"/>
          <w:sz w:val="28"/>
        </w:rPr>
        <w:t xml:space="preserve">ой цели к 2030 году является </w:t>
      </w:r>
      <w:r>
        <w:rPr>
          <w:rFonts w:ascii="Times New Roman" w:hAnsi="Times New Roman"/>
          <w:sz w:val="28"/>
        </w:rPr>
        <w:t xml:space="preserve">повышение ожидаемой продолжительности жизни                    до 78 лет.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 11 месяцев </w:t>
      </w:r>
      <w:r>
        <w:rPr>
          <w:rFonts w:ascii="Times New Roman" w:hAnsi="Times New Roman"/>
          <w:sz w:val="28"/>
        </w:rPr>
        <w:t xml:space="preserve">2023 года </w:t>
      </w:r>
      <w:r>
        <w:rPr>
          <w:rFonts w:ascii="Times New Roman" w:hAnsi="Times New Roman"/>
          <w:sz w:val="28"/>
        </w:rPr>
        <w:t xml:space="preserve">по пр</w:t>
      </w:r>
      <w:r>
        <w:rPr>
          <w:rFonts w:ascii="Times New Roman" w:hAnsi="Times New Roman"/>
          <w:sz w:val="28"/>
        </w:rPr>
        <w:t xml:space="preserve">едварительной оценке Федеральной службы государственной статистики ожидаемая продолжительность жизни населения Еврейской автономной области составила 68,04 года и увеличилась на 0,35 месяца по сравнению с 2022 годом (67,69 года).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В 2023 году предварительный показатель смертности от всех причин снизился на 5,9 процента по сравнению с 2022 годом и составил 14,3 случая на 1 тыс.  населения (2022 год – 15,2 случая на 1 тыс. населения).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В структуре общей смертности населения Еврейской автономной области основной причиной остается </w:t>
      </w:r>
      <w:r>
        <w:rPr>
          <w:rFonts w:ascii="Times New Roman" w:hAnsi="Times New Roman"/>
          <w:sz w:val="28"/>
        </w:rPr>
        <w:t xml:space="preserve">смертность от болезней системы кровообращения. Доля смертности от болезней системы кровообращения в 2023 году составила 53,7 процента (в 2022 – 50,2 процента). Второе место в структуре общей смертности населения стабильно занимает смер</w:t>
      </w:r>
      <w:r>
        <w:rPr>
          <w:rFonts w:ascii="Times New Roman" w:hAnsi="Times New Roman"/>
          <w:sz w:val="28"/>
        </w:rPr>
        <w:t xml:space="preserve">тность от новообразований – 15,8 </w:t>
      </w:r>
      <w:r>
        <w:rPr>
          <w:rFonts w:ascii="Times New Roman" w:hAnsi="Times New Roman"/>
          <w:sz w:val="28"/>
        </w:rPr>
        <w:t xml:space="preserve">процента</w:t>
      </w:r>
      <w:r>
        <w:rPr>
          <w:rFonts w:ascii="Times New Roman" w:hAnsi="Times New Roman"/>
          <w:sz w:val="28"/>
        </w:rPr>
        <w:t xml:space="preserve"> (в 2022 году – 13,1</w:t>
      </w:r>
      <w:r>
        <w:rPr>
          <w:rFonts w:ascii="Times New Roman" w:hAnsi="Times New Roman"/>
          <w:sz w:val="28"/>
        </w:rPr>
        <w:t xml:space="preserve">процента</w:t>
      </w:r>
      <w:r>
        <w:rPr>
          <w:rFonts w:ascii="Times New Roman" w:hAnsi="Times New Roman"/>
          <w:sz w:val="28"/>
        </w:rPr>
        <w:t xml:space="preserve">), третье – смертность от травм, отравлений и некоторых других последствий воздействия внешних причин – 11,0 </w:t>
      </w:r>
      <w:r>
        <w:rPr>
          <w:rFonts w:ascii="Times New Roman" w:hAnsi="Times New Roman"/>
          <w:sz w:val="28"/>
        </w:rPr>
        <w:t xml:space="preserve">процента</w:t>
      </w:r>
      <w:r>
        <w:rPr>
          <w:rFonts w:ascii="Times New Roman" w:hAnsi="Times New Roman"/>
          <w:sz w:val="28"/>
        </w:rPr>
        <w:t xml:space="preserve">  (в 2022 году – 10,5 </w:t>
      </w:r>
      <w:r>
        <w:rPr>
          <w:rFonts w:ascii="Times New Roman" w:hAnsi="Times New Roman"/>
          <w:sz w:val="28"/>
        </w:rPr>
        <w:t xml:space="preserve">процента</w:t>
      </w:r>
      <w:r>
        <w:rPr>
          <w:rFonts w:ascii="Times New Roman" w:hAnsi="Times New Roman"/>
          <w:sz w:val="28"/>
        </w:rPr>
        <w:t xml:space="preserve">). Четвертое место занимают болезни органов пищеварения – 7,2  </w:t>
      </w:r>
      <w:r>
        <w:rPr>
          <w:rFonts w:ascii="Times New Roman" w:hAnsi="Times New Roman"/>
          <w:sz w:val="28"/>
        </w:rPr>
        <w:t xml:space="preserve">процента</w:t>
      </w:r>
      <w:r>
        <w:rPr>
          <w:rFonts w:ascii="Times New Roman" w:hAnsi="Times New Roman"/>
          <w:sz w:val="28"/>
        </w:rPr>
        <w:t xml:space="preserve">                (в 2022 году – 5,6 </w:t>
      </w:r>
      <w:r>
        <w:rPr>
          <w:rFonts w:ascii="Times New Roman" w:hAnsi="Times New Roman"/>
          <w:sz w:val="28"/>
        </w:rPr>
        <w:t xml:space="preserve">процента</w:t>
      </w:r>
      <w:r>
        <w:rPr>
          <w:rFonts w:ascii="Times New Roman" w:hAnsi="Times New Roman"/>
          <w:sz w:val="28"/>
        </w:rPr>
        <w:t xml:space="preserve">), пятое место в 2023 году занимают болезни органов дыхания – 6,6 </w:t>
      </w:r>
      <w:r>
        <w:rPr>
          <w:rFonts w:ascii="Times New Roman" w:hAnsi="Times New Roman"/>
          <w:sz w:val="28"/>
        </w:rPr>
        <w:t xml:space="preserve">процента</w:t>
      </w:r>
      <w:r>
        <w:rPr>
          <w:rFonts w:ascii="Times New Roman" w:hAnsi="Times New Roman"/>
          <w:sz w:val="28"/>
        </w:rPr>
        <w:t xml:space="preserve"> (в 2022 году – 8,6 </w:t>
      </w:r>
      <w:r>
        <w:rPr>
          <w:rFonts w:ascii="Times New Roman" w:hAnsi="Times New Roman"/>
          <w:sz w:val="28"/>
        </w:rPr>
        <w:t xml:space="preserve">процента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Младенческой смертности на территории Еврейской автономной области в 2023 году составил 7,3</w:t>
      </w:r>
      <w:r>
        <w:rPr>
          <w:rFonts w:ascii="Times New Roman" w:hAnsi="Times New Roman"/>
          <w:sz w:val="28"/>
        </w:rPr>
        <w:t xml:space="preserve"> случаев на 1 тыс. родившихся живыми (в 2022 году – 5,5  случаев на 1 тыс. родившихся живыми). В сравнении с                              2021 годом младенческая смертность снизилась на 36,8 процента.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Смертность населения в трудоспособном возрасте снизилась с                                748,5 человек на 100 тыс. населения в 2022 году до 701,1 человек на                              100 тыс. населения </w:t>
      </w:r>
      <w:r>
        <w:rPr>
          <w:rFonts w:ascii="Times New Roman" w:hAnsi="Times New Roman"/>
          <w:sz w:val="28"/>
        </w:rPr>
        <w:t xml:space="preserve">по итогам 2023 года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Несмотря на увеличение доли смертности </w:t>
      </w:r>
      <w:r>
        <w:rPr>
          <w:rFonts w:ascii="Times New Roman" w:hAnsi="Times New Roman"/>
          <w:sz w:val="28"/>
        </w:rPr>
        <w:t xml:space="preserve">населения Еврейской автономной области </w:t>
      </w:r>
      <w:r>
        <w:rPr>
          <w:rFonts w:ascii="Times New Roman" w:hAnsi="Times New Roman"/>
          <w:sz w:val="28"/>
        </w:rPr>
        <w:t xml:space="preserve">от болезней системы кровообращения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в результа</w:t>
      </w:r>
      <w:r>
        <w:rPr>
          <w:rFonts w:ascii="Times New Roman" w:hAnsi="Times New Roman"/>
          <w:sz w:val="28"/>
        </w:rPr>
        <w:t xml:space="preserve">те мероприятий, проводимых по совершенствованию медици</w:t>
      </w:r>
      <w:r>
        <w:rPr>
          <w:rFonts w:ascii="Times New Roman" w:hAnsi="Times New Roman"/>
          <w:sz w:val="28"/>
        </w:rPr>
        <w:t xml:space="preserve">нской помощи, оказываемой больным с сосудистыми заболеваниями, с 2018 года удалось снизить показатель смертности населения от болезней системы кровообращения с 779,1 человек на 100 тыс. населения до 766,9 человек на          100 тыс. населения в 2023 году.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Смертность от новообразований, в том числе от злокачественных с                        2018 года снизилась с 234,2 человек на 100 тыс. населения до 225,1 на                         100 тыс. населения в 2023 году.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28"/>
        </w:rPr>
        <w:t xml:space="preserve">С целью обеспечения доступности первичной медико-санитарной помощи для населения, проживающего в населенных пунктах Еврейской автономной области с численностью от 100 до 2000 человек, </w:t>
      </w:r>
      <w:r>
        <w:rPr>
          <w:rFonts w:ascii="Times New Roman" w:hAnsi="Times New Roman"/>
          <w:sz w:val="28"/>
        </w:rPr>
        <w:t xml:space="preserve">в 2020 –                        2023 годах </w:t>
      </w:r>
      <w:r>
        <w:rPr>
          <w:rFonts w:ascii="Times New Roman" w:hAnsi="Times New Roman"/>
          <w:sz w:val="28"/>
        </w:rPr>
        <w:t xml:space="preserve">введены в эксплуатацию 51 фельдшерско-акушерский пункт.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 итогам 2023 года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двух вновь возведенных врачебных амбулаториях  оказывается первичная врачебная медико-санитарная помощь и первичная специализированная медико-санитарная помощь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плановой и неотложной форме.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Одним из основных направлений в совершенствовании организации медицинской помощи является развитие первичной медико-сани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тарной помощи, включающей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С целью повышения доступности первичной медико-санитарной помощи для жителей отдаленных, труднодоступных и малонаселенных пунктов в пяти районах Е</w:t>
      </w:r>
      <w:r>
        <w:rPr>
          <w:rFonts w:ascii="Times New Roman" w:hAnsi="Times New Roman"/>
          <w:sz w:val="28"/>
        </w:rPr>
        <w:t xml:space="preserve">врейской автономной области функционируют четыре передвижных медицинских комплекса, в том числе три передвижных автомобильных диагностических комплекса, один передвижной медицинский комплекс ВМК «Лучевая диагностика» в исполнении «Выездной медосмотр» (</w:t>
      </w:r>
      <w:r>
        <w:rPr>
          <w:rFonts w:ascii="Times New Roman" w:hAnsi="Times New Roman"/>
          <w:sz w:val="28"/>
        </w:rPr>
        <w:t xml:space="preserve">Флюмам</w:t>
      </w:r>
      <w:r>
        <w:rPr>
          <w:rFonts w:ascii="Times New Roman" w:hAnsi="Times New Roman"/>
          <w:sz w:val="28"/>
        </w:rPr>
        <w:t xml:space="preserve">). По итогам 2023 года </w:t>
      </w:r>
      <w:r>
        <w:rPr>
          <w:rFonts w:ascii="Times New Roman" w:hAnsi="Times New Roman"/>
          <w:sz w:val="28"/>
        </w:rPr>
        <w:t xml:space="preserve">передвижными медицинскими комплексами</w:t>
      </w:r>
      <w:r>
        <w:rPr>
          <w:rFonts w:ascii="Times New Roman" w:hAnsi="Times New Roman"/>
          <w:sz w:val="28"/>
        </w:rPr>
        <w:t xml:space="preserve"> осуществлено 163 выезда, осмотрено 2 515 человек.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Число посещений сельскими жителями Еврейской автономной области  фельдшерско-акушерских пунктов и врачебных амбулаторий в расчете на одного сельского жителя в 2023 году составило 2,79 посещения при плановом значении показателя 3,44 посещения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в 2022 году – 2,25 посещения).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Планом </w:t>
      </w:r>
      <w:r>
        <w:rPr>
          <w:rFonts w:ascii="Times New Roman" w:hAnsi="Times New Roman"/>
          <w:sz w:val="28"/>
        </w:rPr>
        <w:t xml:space="preserve">диспансеризации</w:t>
      </w:r>
      <w:r>
        <w:rPr>
          <w:rFonts w:ascii="Times New Roman" w:hAnsi="Times New Roman"/>
          <w:sz w:val="28"/>
        </w:rPr>
        <w:t xml:space="preserve"> и проведения профилактических медицинских осмотров определенных групп взрослого населения Еврейской автономной области в 2023 году предусмотрено проведение осмотров 57 761 человека.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31 декабря 2023 года диспансеризацию </w:t>
      </w:r>
      <w:r>
        <w:rPr>
          <w:rFonts w:ascii="Times New Roman" w:hAnsi="Times New Roman"/>
          <w:sz w:val="28"/>
        </w:rPr>
        <w:t xml:space="preserve">прошли                               </w:t>
      </w:r>
      <w:r>
        <w:rPr>
          <w:rFonts w:ascii="Times New Roman" w:hAnsi="Times New Roman"/>
          <w:sz w:val="28"/>
        </w:rPr>
        <w:t xml:space="preserve">14 742 человека, что составило 25</w:t>
      </w:r>
      <w:r>
        <w:rPr>
          <w:rFonts w:ascii="Times New Roman" w:hAnsi="Times New Roman"/>
          <w:sz w:val="28"/>
        </w:rPr>
        <w:t xml:space="preserve">,5 процента от плана (в 2022 году диспансеризацию </w:t>
      </w:r>
      <w:r>
        <w:rPr>
          <w:rFonts w:ascii="Times New Roman" w:hAnsi="Times New Roman"/>
          <w:sz w:val="28"/>
        </w:rPr>
        <w:t xml:space="preserve">прошли </w:t>
      </w:r>
      <w:r>
        <w:rPr>
          <w:rFonts w:ascii="Times New Roman" w:hAnsi="Times New Roman"/>
          <w:sz w:val="28"/>
        </w:rPr>
        <w:t xml:space="preserve">11,9 процента граждан от плана). На прохождение второго этапа диспансеризации направлено 3 100 человек, что составляет                    21 процент от числа граждан, прошедших первый этап диспансеризации. Завершили обследование на втором этапе </w:t>
      </w:r>
      <w:r>
        <w:rPr>
          <w:rFonts w:ascii="Times New Roman" w:hAnsi="Times New Roman"/>
          <w:sz w:val="28"/>
        </w:rPr>
        <w:t xml:space="preserve">диспансеризации</w:t>
      </w:r>
      <w:r>
        <w:rPr>
          <w:rFonts w:ascii="Times New Roman" w:hAnsi="Times New Roman"/>
          <w:sz w:val="28"/>
        </w:rPr>
        <w:t xml:space="preserve"> 124 человека                    (4,0 процента). Из</w:t>
      </w:r>
      <w:r>
        <w:rPr>
          <w:rFonts w:ascii="Times New Roman" w:hAnsi="Times New Roman"/>
          <w:sz w:val="28"/>
        </w:rPr>
        <w:t xml:space="preserve"> общего числа осмотренных: мужчины – 5 584 человека                   (или 37,9 процента) и женщины – 9 158 человек </w:t>
      </w:r>
      <w:r>
        <w:rPr>
          <w:rFonts w:ascii="Times New Roman" w:hAnsi="Times New Roman"/>
          <w:sz w:val="28"/>
        </w:rPr>
        <w:t xml:space="preserve">(или 62,1 процента);                              работающие граждане – 8 830 человек (или 59,9 процента), неработающие граждане – 5 744 человека (или 39 процентов), учащиеся образовательных учреждений очной формы обучения – 168 человек (или 1,1 процента).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в Еврейской автономной области диспансеризацию прошли 9 300 жителей городской местности (или 63,1 процента) и 5 434 жителя сельской (или 36,9 процента).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г</w:t>
      </w:r>
      <w:r>
        <w:rPr>
          <w:rFonts w:ascii="Times New Roman" w:hAnsi="Times New Roman"/>
          <w:sz w:val="28"/>
        </w:rPr>
        <w:t xml:space="preserve">раждан, прошедших  в 2023 году профилактические медицинские осмотры и диспансеризацию, в том числе углубленную, с использованием передвижных медицинских комплексов составило                             822 человека (или 6,0 процентов от всех осмотренных).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Возрастной состав осмотренного на</w:t>
      </w:r>
      <w:r>
        <w:rPr>
          <w:rFonts w:ascii="Times New Roman" w:hAnsi="Times New Roman"/>
          <w:sz w:val="28"/>
        </w:rPr>
        <w:t xml:space="preserve">селения: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18 – 34 года – 2 334 человека (15,8 процента);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35 – 39 лет – 1 345 человек (9,1 процента);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40 – </w:t>
      </w:r>
      <w:r>
        <w:rPr>
          <w:rFonts w:ascii="Times New Roman" w:hAnsi="Times New Roman"/>
          <w:sz w:val="28"/>
        </w:rPr>
        <w:t xml:space="preserve">54 года – 4 274 человека (29 процентов);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55 – </w:t>
      </w:r>
      <w:r>
        <w:rPr>
          <w:rFonts w:ascii="Times New Roman" w:hAnsi="Times New Roman"/>
          <w:sz w:val="28"/>
        </w:rPr>
        <w:t xml:space="preserve">59 лет – 1 341 человек (9,1 процента);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60 –</w:t>
      </w:r>
      <w:r>
        <w:rPr>
          <w:rFonts w:ascii="Times New Roman" w:hAnsi="Times New Roman"/>
          <w:sz w:val="28"/>
        </w:rPr>
        <w:t xml:space="preserve"> 64 года – 1 593 человека (10,8 процента);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65 –</w:t>
      </w:r>
      <w:r>
        <w:rPr>
          <w:rFonts w:ascii="Times New Roman" w:hAnsi="Times New Roman"/>
          <w:sz w:val="28"/>
        </w:rPr>
        <w:t xml:space="preserve">74 года – 2 799 человек (19 процентов);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75 и старше лет – 1 056 человек (7,2 процента).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28"/>
        </w:rPr>
        <w:t xml:space="preserve">Доля граждан, ежегодно проходящих профилактические медицинские осмотры и (или) диспансеризацию, в 2023 году составила 29,9 процента                      (в 2022 году – 15,5 процента).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Охват граждан старше трудоспособного </w:t>
      </w:r>
      <w:r>
        <w:rPr>
          <w:rFonts w:ascii="Times New Roman" w:hAnsi="Times New Roman"/>
          <w:sz w:val="28"/>
        </w:rPr>
        <w:t xml:space="preserve">возраста профилактическими осмотрами, включая диспансеризацию, в 2023 году составил 22,5 процента (целевой показатель – 65,4 процента).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Число посещений амбулаторно-поликлинической сети в 2023 году  составило 1 010,8 тыс. посещений, что на 1,8 процента ниже, чем в 2022 году (1 029,1 тыс. по</w:t>
      </w:r>
      <w:r>
        <w:rPr>
          <w:rFonts w:ascii="Times New Roman" w:hAnsi="Times New Roman"/>
          <w:sz w:val="28"/>
        </w:rPr>
        <w:t xml:space="preserve">сещений). Однако, в связи со снижением численности населения </w:t>
      </w:r>
      <w:r>
        <w:rPr>
          <w:rFonts w:ascii="Times New Roman" w:hAnsi="Times New Roman"/>
          <w:sz w:val="28"/>
        </w:rPr>
        <w:t xml:space="preserve">показатель посещений на одного жителя Еврейской автономной области незначительно вырос и составил 6,9 посещений (в 2022 году –                      6,7 посещений), сельскими жителями – 5,4 посещения (2022 год –                               4,8 посещений).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целях улучшения качества оказания медицинской помощи населению Еврейской автономной области активно используются телемедицинские консультации с региональными и федеральными медицинскими учреждениями, в 2023 году проведено 186 телемедицинских консультаций.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Экстренную медицинскую помощь населению Еврейской автономной области оказывает </w:t>
      </w: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здравоохранения «Станция скорой медицинской помощи». </w:t>
      </w:r>
      <w:r>
        <w:rPr>
          <w:rFonts w:ascii="Times New Roman" w:hAnsi="Times New Roman" w:cs="Times New Roman"/>
          <w:sz w:val="28"/>
          <w:szCs w:val="28"/>
        </w:rPr>
        <w:t xml:space="preserve">В районах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находятся 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</w:t>
      </w:r>
      <w:r>
        <w:rPr>
          <w:rFonts w:ascii="Times New Roman" w:hAnsi="Times New Roman" w:cs="Times New Roman"/>
          <w:sz w:val="28"/>
          <w:szCs w:val="28"/>
        </w:rPr>
        <w:t xml:space="preserve">иалов службы скорой медицинской помощи. В 2023 году проведена централизация диспетчерской службы </w:t>
      </w:r>
      <w:r>
        <w:rPr>
          <w:rFonts w:ascii="Times New Roman" w:hAnsi="Times New Roman" w:cs="Times New Roman"/>
          <w:sz w:val="28"/>
          <w:szCs w:val="28"/>
        </w:rPr>
        <w:t xml:space="preserve">скорой медицинской помощи.</w:t>
      </w:r>
      <w:r>
        <w:rPr>
          <w:rFonts w:ascii="Times New Roman" w:hAnsi="Times New Roman" w:cs="Times New Roman"/>
          <w:sz w:val="28"/>
          <w:szCs w:val="28"/>
        </w:rPr>
        <w:t xml:space="preserve"> С 2020 года автомобильный парк </w:t>
      </w: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учреждения здравоохранения «Станция скорой медицинской помощи» </w:t>
      </w:r>
      <w:r>
        <w:rPr>
          <w:rFonts w:ascii="Times New Roman" w:hAnsi="Times New Roman" w:cs="Times New Roman"/>
          <w:sz w:val="28"/>
          <w:szCs w:val="28"/>
        </w:rPr>
        <w:t xml:space="preserve">обновился на 51 специализированный автомобиль. В 2023 году построены 16 модульных гаражей для автомашин скорой  медицинской помощи.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обеспечения доступности оказания населению Еврейской автономной области экстренной медицинской помощи реализуются мероприятия по развитию санитарной авиации.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Пациенты из районных больниц  доставляются в областное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«Областная больница», а также медицинские организации Хабаровского края.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Развитие санитарной авиации позволяет оперативно решать вопросы по организации оказания медицинской помощи.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В период с 2021 года по 2023 год совершено 102 вылета са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нитарной авиации. Эвакуировано 187 человек, в том числе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48 детей, из них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34 ребенка в возрасте до одного года. </w:t>
      </w:r>
      <w:r/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По итогам 2023 года медицинскую помощь населению оказывали                          374 врача всех специальностей, из них врачей клинических специальностей </w:t>
      </w:r>
      <w:r>
        <w:rPr>
          <w:rFonts w:ascii="Times New Roman" w:hAnsi="Times New Roman"/>
          <w:sz w:val="28"/>
          <w:szCs w:val="28"/>
        </w:rPr>
        <w:t xml:space="preserve">220 (58,8 процентов) и 1 250</w:t>
      </w:r>
      <w:r>
        <w:rPr>
          <w:rFonts w:ascii="Times New Roman" w:hAnsi="Times New Roman"/>
          <w:sz w:val="28"/>
        </w:rPr>
        <w:t xml:space="preserve"> средних медицинских работников</w:t>
      </w:r>
      <w:r>
        <w:rPr>
          <w:rFonts w:ascii="Times New Roman" w:hAnsi="Times New Roman"/>
          <w:sz w:val="28"/>
        </w:rPr>
        <w:t xml:space="preserve">. В 2023 году в государственные медицинские организации трудоустроено 60 врачей и                         </w:t>
      </w:r>
      <w:r>
        <w:rPr>
          <w:rFonts w:ascii="Times New Roman" w:hAnsi="Times New Roman"/>
          <w:sz w:val="28"/>
        </w:rPr>
        <w:t xml:space="preserve">173</w:t>
      </w:r>
      <w:r>
        <w:rPr>
          <w:rFonts w:ascii="Times New Roman" w:hAnsi="Times New Roman"/>
          <w:sz w:val="28"/>
        </w:rPr>
        <w:t xml:space="preserve"> средних медицинских работников, </w:t>
      </w:r>
      <w:r>
        <w:rPr>
          <w:rFonts w:ascii="Times New Roman" w:hAnsi="Times New Roman"/>
          <w:sz w:val="28"/>
        </w:rPr>
        <w:t xml:space="preserve">половина из которых работают в сельских местностях.</w: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28"/>
        </w:rPr>
        <w:t xml:space="preserve">В 2023 году укомплектованность медицинских организаций, оказывающих медицинскую помощь в амбулаторных условиях, врачами увеличилась до 85,2 процента, средним медицинским персоналом до                          89,6 процента</w:t>
      </w:r>
      <w:r>
        <w:rPr>
          <w:rFonts w:ascii="Times New Roman" w:hAnsi="Times New Roman"/>
          <w:sz w:val="16"/>
        </w:rPr>
        <w:t xml:space="preserve">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рамках реализации программ «Земский доктор» и «Земский фельдшер» в 2023 году в областные учреждения здравоохранения трудоустроено 6 врачей и 10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фельдшеров, которые получили единовременные компенсационные выплаты в размере 2 млн. рублей и 1 млн. рублей соответственно. 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С 2023 года в Еврейской автономной области функционирует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  <w14:ligatures w14:val="none"/>
        </w:rPr>
        <w:t xml:space="preserve">государственная информационной система в сфере здравоохранения «Региональная медицинская информационная система Еврейской автономной области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», позволяющая осуществлять 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цифровизацию здравоохранения, включая широкий доступ населения к личным данным о собственном здоровье, развитие телемедицины, централизованных диагностических сервисов для динамического наблюдения пациентов.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6"/>
        </w:rPr>
      </w:r>
    </w:p>
    <w:p>
      <w:pPr>
        <w:contextualSpacing/>
        <w:ind w:left="0" w:right="0" w:firstLine="709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outlineLvl w:val="2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2. Характеристика приоритетов и целей государственной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политики в сфере реализации государственной программы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«Здравоохранение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Еврейской автономной области»</w:t>
      </w:r>
      <w:r>
        <w:rPr>
          <w:rFonts w:ascii="Times New Roman" w:hAnsi="Times New Roman" w:cs="Times New Roman"/>
          <w:b/>
          <w:i w:val="0"/>
          <w:strike w:val="0"/>
          <w:sz w:val="16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 2024 – </w:t>
      </w:r>
      <w:r>
        <w:rPr>
          <w:rFonts w:ascii="Times New Roman" w:hAnsi="Times New Roman"/>
          <w:color w:val="auto"/>
          <w:sz w:val="28"/>
          <w:szCs w:val="28"/>
        </w:rPr>
        <w:t xml:space="preserve">2028 годы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color w:val="auto"/>
          <w:sz w:val="16"/>
        </w:rPr>
      </w:pPr>
      <w:r>
        <w:rPr>
          <w:rFonts w:ascii="Arial" w:hAnsi="Arial" w:eastAsia="Arial" w:cs="Arial"/>
          <w:b w:val="0"/>
          <w:i w:val="0"/>
          <w:strike w:val="0"/>
          <w:color w:val="auto"/>
          <w:sz w:val="16"/>
        </w:rPr>
      </w:r>
      <w:r>
        <w:rPr>
          <w:rFonts w:ascii="Arial" w:hAnsi="Arial" w:eastAsia="Arial" w:cs="Arial"/>
          <w:b w:val="0"/>
          <w:i w:val="0"/>
          <w:strike w:val="0"/>
          <w:color w:val="auto"/>
          <w:sz w:val="16"/>
        </w:rPr>
      </w:r>
      <w:r>
        <w:rPr>
          <w:rFonts w:ascii="Arial" w:hAnsi="Arial" w:eastAsia="Arial" w:cs="Arial"/>
          <w:b w:val="0"/>
          <w:i w:val="0"/>
          <w:strike w:val="0"/>
          <w:color w:val="auto"/>
          <w:sz w:val="16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Приоритеты государственной политики в сфере реализации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«Здравоохранение </w:t>
      </w:r>
      <w:r>
        <w:rPr>
          <w:rFonts w:ascii="Times New Roman" w:hAnsi="Times New Roman"/>
          <w:sz w:val="28"/>
          <w:szCs w:val="28"/>
        </w:rPr>
        <w:t xml:space="preserve">в Еврейской автономной области»</w:t>
      </w:r>
      <w:r>
        <w:rPr>
          <w:rFonts w:ascii="Times New Roman" w:hAnsi="Times New Roman" w:cs="Times New Roman"/>
          <w:b/>
          <w:i w:val="0"/>
          <w:strike w:val="0"/>
          <w:sz w:val="16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 2024 – </w:t>
      </w:r>
      <w:r>
        <w:rPr>
          <w:rFonts w:ascii="Times New Roman" w:hAnsi="Times New Roman"/>
          <w:color w:val="auto"/>
          <w:sz w:val="28"/>
          <w:szCs w:val="28"/>
        </w:rPr>
        <w:t xml:space="preserve">2028 годы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определены: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1) </w:t>
      </w:r>
      <w:hyperlink r:id="rId15" w:tooltip="https://login.consultant.ru/link/?req=doc&amp;base=LAW&amp;n=35802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2) </w:t>
      </w:r>
      <w:hyperlink r:id="rId16" w:tooltip="https://login.consultant.ru/link/?req=doc&amp;base=LAW&amp;n=44307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Президента Российской Федерации от 06.06.2019 № 254 «О Стратегии развития здравоохранения в Российской Федерации на период до 2025 года»;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3) </w:t>
      </w:r>
      <w:hyperlink r:id="rId17" w:tooltip="https://login.consultant.ru/link/?req=doc&amp;base=LAW&amp;n=35792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Президента Российской Федерации от 21.07.2020 № 474                   «О национальных целях развития Российской Федерации на период до              2030 года»;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4) </w:t>
      </w:r>
      <w:hyperlink r:id="rId18" w:tooltip="https://login.consultant.ru/link/?req=doc&amp;base=LAW&amp;n=38927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5) </w:t>
      </w:r>
      <w:hyperlink r:id="rId19" w:tooltip="https://login.consultant.ru/link/?req=doc&amp;base=LAW&amp;n=311873&amp;dst=10000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Стратегией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развития санаторно-курортного комплекса Российской Федерации, утвержденной распоряжением Правительства Российской Федерации от 26.11.2018 № 2581-р;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6) Государственной </w:t>
      </w:r>
      <w:hyperlink r:id="rId20" w:tooltip="https://login.consultant.ru/link/?req=doc&amp;base=LAW&amp;n=372322&amp;dst=10000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стратегией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противодействия распространению ВИЧ-инфекции в Российской Федерации на период до 2030 года, утвержденной распоряжением Правительства Российской Федерации                     от 21.12.2020 № 3468-р;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7) П</w:t>
      </w:r>
      <w:hyperlink r:id="rId21" w:tooltip="https://login.consultant.ru/link/?req=doc&amp;base=LAW&amp;n=411709&amp;dst=10000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еречнем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инициатив социально-экономического развития Российской Федерации до 2030 года, утвержденным распоряжением Правительства Российской Федерации от 06.10.2021 № 2816-р.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В соответствии со </w:t>
      </w:r>
      <w:hyperlink r:id="rId22" w:tooltip="https://login.consultant.ru/link/?req=doc&amp;base=LAW&amp;n=389271&amp;dst=10001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auto"/>
            <w:sz w:val="28"/>
            <w:szCs w:val="28"/>
          </w:rPr>
          <w:t xml:space="preserve">Стратегией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                 от 02.07.2021 № 400,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населения, укрепление здоровья граждан.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задач: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892"/>
        <w:numPr>
          <w:ilvl w:val="0"/>
          <w:numId w:val="1"/>
        </w:numPr>
        <w:contextualSpacing/>
        <w:ind w:left="0" w:right="0" w:firstLine="709"/>
        <w:jc w:val="both"/>
        <w:spacing w:before="0" w:beforeAutospacing="0"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увеличение ожидаемой продолжительности жизни, снижение смертности и уровня инвалидизации населения, профилактика профессиональных заболеваний;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892"/>
        <w:numPr>
          <w:ilvl w:val="0"/>
          <w:numId w:val="1"/>
        </w:numPr>
        <w:contextualSpacing/>
        <w:ind w:left="0" w:right="0" w:firstLine="709"/>
        <w:jc w:val="both"/>
        <w:spacing w:before="160"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повышение качества и доступности медицинской помощи, включая вакцинацию и лекарственное обеспечение;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892"/>
        <w:numPr>
          <w:ilvl w:val="0"/>
          <w:numId w:val="1"/>
        </w:numPr>
        <w:contextualSpacing/>
        <w:ind w:left="0" w:right="0" w:firstLine="709"/>
        <w:jc w:val="both"/>
        <w:spacing w:before="160" w:after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повышение мотивации граждан к ведению здорового образа жизни, занятию физической культурой и спортом;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16"/>
        </w:rPr>
      </w:r>
    </w:p>
    <w:p>
      <w:pPr>
        <w:pStyle w:val="892"/>
        <w:numPr>
          <w:ilvl w:val="0"/>
          <w:numId w:val="1"/>
        </w:numPr>
        <w:contextualSpacing/>
        <w:ind w:left="0" w:right="0" w:firstLine="709"/>
        <w:jc w:val="both"/>
        <w:spacing w:before="160" w:after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обеспечение санитарно-эпидемиологического благополучия населения.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Исходя из указанных приоритетов сформулирована цель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Еврейской автономной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«Здравоохранение </w:t>
      </w:r>
      <w:r>
        <w:rPr>
          <w:rFonts w:ascii="Times New Roman" w:hAnsi="Times New Roman"/>
          <w:sz w:val="28"/>
          <w:szCs w:val="28"/>
        </w:rPr>
        <w:t xml:space="preserve">в Еврейской автономной области»</w:t>
      </w:r>
      <w:r>
        <w:rPr>
          <w:rFonts w:ascii="Times New Roman" w:hAnsi="Times New Roman" w:cs="Times New Roman"/>
          <w:b/>
          <w:i w:val="0"/>
          <w:strike w:val="0"/>
          <w:sz w:val="16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 2024 – </w:t>
      </w:r>
      <w:r>
        <w:rPr>
          <w:rFonts w:ascii="Times New Roman" w:hAnsi="Times New Roman"/>
          <w:color w:val="auto"/>
          <w:sz w:val="28"/>
          <w:szCs w:val="28"/>
        </w:rPr>
        <w:t xml:space="preserve">2028 годы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повышение доступности и качества медицинской помощи населению Еврейской автономной области, сохранение и улучшение здоровья граждан, увеличение продолжительности жизни населения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до 78 лет к 2030 году.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  <w:outlineLvl w:val="2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3. Обоснование целей, задач и способов их эффективного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решения в сфере охраны здоровья граждан и сфере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государственного управления Еврейской автономной области,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включая задачи, определенные в соответствии с национальными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целями развития Российской Федерации, а также задачи,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направленные на достижение общественно значимых результатов</w:t>
      </w:r>
      <w:r>
        <w:rPr>
          <w:rFonts w:ascii="Times New Roman" w:hAnsi="Times New Roman" w:cs="Times New Roman"/>
          <w:b/>
          <w:i w:val="0"/>
          <w:strike w:val="0"/>
          <w:sz w:val="16"/>
        </w:rPr>
      </w:r>
      <w:r>
        <w:rPr>
          <w:rFonts w:ascii="Times New Roman" w:hAnsi="Times New Roman" w:cs="Times New Roman"/>
          <w:b/>
          <w:i w:val="0"/>
          <w:strike w:val="0"/>
          <w:sz w:val="16"/>
        </w:rPr>
      </w:r>
    </w:p>
    <w:p>
      <w:pPr>
        <w:contextualSpacing/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достижения позитивных демографических трендов планируется реализация комплекса мер по снижению смертности населения, росту ожидаемой продолжительности жизни.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программой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«Здравоохранение </w:t>
      </w:r>
      <w:r>
        <w:rPr>
          <w:rFonts w:ascii="Times New Roman" w:hAnsi="Times New Roman"/>
          <w:sz w:val="28"/>
          <w:szCs w:val="28"/>
        </w:rPr>
        <w:t xml:space="preserve">в Еврейской автономной области»</w:t>
      </w:r>
      <w:r>
        <w:rPr>
          <w:rFonts w:ascii="Times New Roman" w:hAnsi="Times New Roman" w:cs="Times New Roman"/>
          <w:b/>
          <w:i w:val="0"/>
          <w:strike w:val="0"/>
          <w:sz w:val="16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 2024 – </w:t>
      </w:r>
      <w:r>
        <w:rPr>
          <w:rFonts w:ascii="Times New Roman" w:hAnsi="Times New Roman"/>
          <w:color w:val="auto"/>
          <w:sz w:val="28"/>
          <w:szCs w:val="28"/>
        </w:rPr>
        <w:t xml:space="preserve">2028 годы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предусмотрено решение следующих задач: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обеспечение приоритета профилактики в сфере охраны здоровья и развития первичной медико-санитарной помощи;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борьба с социально значимыми заболеваниями;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совершенствование оказания медицинской помощи наркологическим больным;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совершенствование оказания скорой, в том числе скорой специализированной, медицинской помощи, медицинской эвакуации;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совершенствование высокотехнологичной медицинской помощи, развитие новых эффективных методов лечения;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развитие службы крови;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организация оказания услуг по патологической анатомии, проведение судебно-медицинской экспертизы, экспертизы профессиональной пригодности и экспертизы связи заболевания с профессией;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организация оказания специализированной медицинской помощи в стационарных условиях и в условиях дневного стационара;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организация оказания медицинской помощи женщинам и детям;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организация оказания медицинской помощи по медицинской реабилитации и санаторно-курортного лечения, в том числе детей;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организация оказания паллиативной помощи взрослым и детям;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совершенствование системы лекарственного обеспечения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обеспечение системы здравоохранения высококвалифицированными кадрами, повышение престижа медицинских специальностей.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решения задач настоящей государственной программы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«Здравоохранение </w:t>
      </w:r>
      <w:r>
        <w:rPr>
          <w:rFonts w:ascii="Times New Roman" w:hAnsi="Times New Roman"/>
          <w:sz w:val="28"/>
          <w:szCs w:val="28"/>
        </w:rPr>
        <w:t xml:space="preserve">в Еврейской автономной области»</w:t>
      </w:r>
      <w:r>
        <w:rPr>
          <w:rFonts w:ascii="Times New Roman" w:hAnsi="Times New Roman" w:cs="Times New Roman"/>
          <w:b/>
          <w:i w:val="0"/>
          <w:strike w:val="0"/>
          <w:sz w:val="16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 2024 – </w:t>
      </w:r>
      <w:r>
        <w:rPr>
          <w:rFonts w:ascii="Times New Roman" w:hAnsi="Times New Roman"/>
          <w:color w:val="auto"/>
          <w:sz w:val="28"/>
          <w:szCs w:val="28"/>
        </w:rPr>
        <w:t xml:space="preserve">2028 годы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будут реализованы комплексные мероприятия в рамках следующих направлений: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1) совершенствование оказания медицинской помощи, включая профилактику заболеваний и формирование здорового образа жизни;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2) развитие и внедрение инновационных методов диагностики, профилактики и лечения;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3) медицинская реабилитация и санаторно-курортное лечение;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4) кадровые ресурсы в здравоохранении;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5) развитие информационных технологий.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Мероприятия государственной программы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«Здравоохранение </w:t>
      </w:r>
      <w:r>
        <w:rPr>
          <w:rFonts w:ascii="Times New Roman" w:hAnsi="Times New Roman"/>
          <w:sz w:val="28"/>
          <w:szCs w:val="28"/>
        </w:rPr>
        <w:t xml:space="preserve">в Еврейской автономной области»</w:t>
      </w:r>
      <w:r>
        <w:rPr>
          <w:rFonts w:ascii="Times New Roman" w:hAnsi="Times New Roman" w:cs="Times New Roman"/>
          <w:b/>
          <w:i w:val="0"/>
          <w:strike w:val="0"/>
          <w:sz w:val="16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 2024 –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2028 годы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направлены на достижению национальных целей развития Российской Федерации к 2030 году, в том числе:</w:t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 обеспечение развития санитарной авиации;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оснащение оборудованием региональных сосудистых центров и первичных сосудистых отделени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создание и оснащение референс-центров для проведения иммуногистохимически, патоморфологических исследований и лучевых методов исследований,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- переоснащение сети региональных медицинских организаций, оказывающих помощь больным онкологическими заболеваниями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обеспечение медицинских организаций системы здравоохранения квалифицированными кадрами в Еврейской автономной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  <w:highlight w:val="none"/>
        </w:rPr>
        <w:t xml:space="preserve">создание единого цифрового контура в здравоохранении на основе единой государственной информационной системы здравоохранения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 модернизация первичного звена здравоохранения;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Ожидаемыми результатами реализации мероприятий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Еврейской автономной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«Здравоохранение </w:t>
      </w:r>
      <w:r>
        <w:rPr>
          <w:rFonts w:ascii="Times New Roman" w:hAnsi="Times New Roman"/>
          <w:sz w:val="28"/>
          <w:szCs w:val="28"/>
        </w:rPr>
        <w:t xml:space="preserve">в Еврейской автономной области»</w:t>
      </w:r>
      <w:r>
        <w:rPr>
          <w:rFonts w:ascii="Times New Roman" w:hAnsi="Times New Roman" w:cs="Times New Roman"/>
          <w:b/>
          <w:i w:val="0"/>
          <w:strike w:val="0"/>
          <w:sz w:val="16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 2024 – </w:t>
      </w:r>
      <w:r>
        <w:rPr>
          <w:rFonts w:ascii="Times New Roman" w:hAnsi="Times New Roman"/>
          <w:color w:val="auto"/>
          <w:sz w:val="28"/>
          <w:szCs w:val="28"/>
        </w:rPr>
        <w:t xml:space="preserve">2028 годы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 2030 году являются: снижение младенческой смертности –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до 3,9 сл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учая на 1 тыс. человек, родившихся живыми, снижение смертности от новообразований –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до 185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случаев на                       100 тыс. населения, 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снижение смертности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от болезней системы кровообращения –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до 450 сл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учаев на 100 тыс. населения, что в совокупности позволит достичь снижения к 2030 году смертности населения от всех причин д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 11,5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случая на 1 тыс. населения.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ожидаемой продолжительности жизни до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78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лет к 2030 году планируется достичь, в частности, путем увеличения доли граж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дан, ведущих здоровый образ жизни, снижения заболеваемости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туберкулезом –                       до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25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случаев на 100 тыс.  населения, гепатитом C – до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5,1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случая                           на 100 тыс. населения, вирусом иммунодефицита человека – до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40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случаев на 100 тыс.  населения.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удовлетворенности населения медицинской помощью бу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дет достигнуто путем реализации мероприятий, направленных, в частности, на увеличение доли лиц с болезнями системы кровообращения, состоящих под диспансерным наблюдением и получивших в текущем году медицинские услуги в рамках диспансерного наблюдения, в об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щем числе пациентов с болезнями системы кровообращения, состоящих под диспансерным наблюдением, доли лиц с онкологическими заболеваниями, прошедших обследование и (или) лечение в текущем году, в общем числе состоящих под диспансерным наблюдением, и других.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en-US"/>
        </w:rPr>
        <w:t xml:space="preserve">II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. Паспорт государственной программы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2028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jc w:val="center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Основные положения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4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Куратор государственной программы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Жуков В.А. – заместитель председателя правительства Еврейской автономной области – начальник департамента здравоохранения правительства Еврейской автономной области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674"/>
        </w:trPr>
        <w:tc>
          <w:tcPr>
            <w:tcW w:w="351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Ответственный исполнитель государственной программы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03"/>
        </w:trPr>
        <w:tc>
          <w:tcPr>
            <w:tcW w:w="351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Соисполнители государственной программы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департамент природных ресурсов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территориальный фонд обязательного медицинского страхования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Участники государственной программы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«Областная больница»;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«Детская областная больница»;</w:t>
            </w:r>
            <w:r/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«Психиатрическая больница»;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«Инфекционная больница»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«Онкологический диспансер»;</w:t>
            </w:r>
            <w:r/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«Кожно-венерологический диспансер»;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«Станция скорой медицинской помощи»;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«Станция переливания крови»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«Центр профилактики и борьбы со СПИД»;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«Медицинский информационно-аналитический центр»;</w:t>
            </w:r>
            <w:r/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«Бюро судебно-медицинской экспертизы»;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«Теплоозерская центральная районная больница»;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«Ленинская центральная районная больница»;</w:t>
            </w:r>
            <w:r/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«Октябрьская центральная районная больница»;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«Смидовичская районная больница»;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«Николаевская районная больница»;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ОГБУЗ «Валдгеймская центральная районная больница»;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ОГПОБУ «Биробиджанский медицинский колледж»;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ОГБУ «Служба заказчика (застройщика) в Еврейской автономной области»</w:t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Период реализации государственной программы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2024 – 2028 годы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Цель (цели) государственной программы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Повышение доступности и качества медицинской помощи населению Еврейской автономной области, сохранение и улучшение здоровья, увеличение продолжительности жизни населения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Подпрограммы государственной программы (наименования)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Не предусмотрены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Общий объем финансирования программы в 2024 – 2028 годах составит 11627756,30 тыс. рублей, в том числе: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средства областного бюджета – 9882915,00 тыс. рублей;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средства федерального бюджета – 1744841,30 тыс. рублей.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Источник финансирования – средства областного бюджета, в том числе: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2024 год – 2223785,8 тыс. рублей;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2025 год – 2045868,60 тыс. рублей;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2026 год –1896371,00 тыс. рублей;</w:t>
            </w:r>
            <w:r/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2027 год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1858458,30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2028 год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1858458,30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тыс. рублей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Источник финансирования – средства федерального бюджета, в том числе: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2024 год – 486421,40 тыс. рублей;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2025 год – 501828,40 тыс. рублей;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2026 год – 330977,50 тыс. рублей;</w:t>
            </w:r>
            <w:r/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2027 год – 212807,00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тыс. рублей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2028 год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212807,00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тыс. рублей.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51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Влияние государственной программы на достижение национальных целей развития Российской Федерации (далее - национальная цель)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7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Сохранение населения, здоровья и благополучия людей/повышение ожидаемой продолжительности жизни до 78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  <w:sectPr>
          <w:head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2. Показатели государственной программы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Еврейской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2028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tbl>
      <w:tblPr>
        <w:tblW w:w="14854" w:type="dxa"/>
        <w:tblInd w:w="-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7"/>
        <w:gridCol w:w="3394"/>
        <w:gridCol w:w="2136"/>
        <w:gridCol w:w="1106"/>
        <w:gridCol w:w="472"/>
        <w:gridCol w:w="350"/>
        <w:gridCol w:w="399"/>
        <w:gridCol w:w="316"/>
        <w:gridCol w:w="717"/>
        <w:gridCol w:w="717"/>
        <w:gridCol w:w="717"/>
        <w:gridCol w:w="2005"/>
        <w:gridCol w:w="2045"/>
      </w:tblGrid>
      <w:tr>
        <w:trPr/>
        <w:tc>
          <w:tcPr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Наименования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Базовое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3511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Значения показателей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46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Ответственный за достивения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45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6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83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3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0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96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4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в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58,0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Смертность населения от всех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случаев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тыс.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15,81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15,03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Смертность от туберкулеза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случаев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 тыс.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7,9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ВИЧ-инфицированных лиц, получающих антиретровирусную терапию, в общем количестве лиц, состоящих на диспансерном наблюдении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84,5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Младенческая смертность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случаев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тыс.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новорожденных, родившихся живыми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Детская смертность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возрасте 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до 4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случаев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тыс. новорожденных, родившихся живыми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Смертность детей от 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случае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 тыс. населения соответ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80,7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242"/>
        </w:trPr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детских поликлиник и детских поликлинических отделений медицинских организаций, дооснащенных медицинскими изделиями с целью приведения их в соответствие с требованиями </w:t>
            </w:r>
            <w:hyperlink r:id="rId23" w:tooltip="consultantplus://offline/ref=1CA82E8FD9D12E1F2FB48F78C79905B8F159FA4F0BB4F561352A492F23E9C005B1C318A545B7E6BD2D31FD6192K4FEI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Министерства здравоохранения Российской Федерации от 07.03.2018 № 92н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детских поликлиник и детских поликлинических отделений медицинских организаций,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hyperlink r:id="rId24" w:tooltip="consultantplus://offline/ref=1CA82E8FD9D12E1F2FB48F78C79905B8F159FA4F0BB4F561352A492F23E9C005B1C318A545B7E6BD2D31FD6192K4FEI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Министерства здравоохранения Российской Федерации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07.03.2018 № 92н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посещений с профилактической и иными целями детьми в возрасте от 0 до 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50,6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обследованных беременных женщин по комплексу пренатальной (дородовой) диагностики от числа поставленных на учет в первый триместр беременных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96,0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Охват детей до 1 года неонатальным скринингом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</w:t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Уровень обеспеченности койками для оказания паллиативной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коек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тыс.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0,78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0,78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0,78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0,78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0,78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0,78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амбулаторных посещений с целью получения паллиативной помощи врачей-специалистов и среднего медицинского персонала любых 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амбулатор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ных посещений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тыс.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93,5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93,5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93,5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93,5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93,5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93,5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22,2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22,2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22,2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22,2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22,2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22,2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98,5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98,5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98,5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98,5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98,5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98,5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врачам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,2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х) средними медицинскими работниками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84,5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tcW w:w="83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045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Охват медицинским освидетельствованием на ВИЧ-инфекцию населения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Охват населения профилактическими осмотрами на туберкулез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64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Уровень информированности населения в возрасте 18 – 49 лет по вопросам ВИЧ-инфекции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46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45" w:type="dxa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овышение ожидаемой продолжительности жизни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78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        3. Структурные элементы государственной программы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2028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tbl>
      <w:tblPr>
        <w:tblStyle w:val="744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4144"/>
        <w:gridCol w:w="427"/>
        <w:gridCol w:w="3916"/>
        <w:gridCol w:w="1893"/>
        <w:gridCol w:w="3334"/>
      </w:tblGrid>
      <w:tr>
        <w:trPr/>
        <w:tc>
          <w:tcPr>
            <w:tcW w:w="958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4144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Наименование задачи структурного элемента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6236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Краткое описание ожидаемых результатов от реализации задачи структурного элемента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Связь с показателями государственной программы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4144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6236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715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«Развитие системы оказания первичной медико-санитарной помощи»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(куратор – Жуков Валерий Александрович)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0381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4144" w:type="dxa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</w:t>
            </w:r>
            <w:r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sz w:val="24"/>
                <w:szCs w:val="24"/>
                <w:lang w:val="ru-RU"/>
              </w:rPr>
              <w:t xml:space="preserve">Развитие санитарной авиации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вылетов санитарной авиации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24 вылета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34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Снижение смертности населения от всех причин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gridSpan w:val="5"/>
            <w:tcW w:w="13715" w:type="dxa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«Борьба с сердечно-сосудистыми заболеваниями»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(куратор – Жуков Валерий Александрович)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both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  <w:lang w:val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white"/>
                <w:lang w:val="ru-RU"/>
              </w:rPr>
              <w:t xml:space="preserve">адача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Обеспечена доступность диагностики, профилактики и лечения сердечно-сосудистых заболевани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Обеспеченa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 950 человек ежегодно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помощью.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Смертность населения от всех причин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>
          <w:trHeight w:val="260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(куратор – Жуков Валерий Александрович)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год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Times New Roman" w:cs="Times New Roman"/>
                <w:iCs w:val="0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  <w:lang w:val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white"/>
                <w:lang w:val="ru-RU"/>
              </w:rPr>
              <w:t xml:space="preserve">адача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Cs w:val="0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Обеспечена доступность диагностики, профилактики и лечения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lang w:val="ru-RU"/>
              </w:rPr>
              <w:t xml:space="preserve">онкологических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заболевани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«Обеспечение медицинских организаций системы здравоохранения квалифицированными кадрами в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(куратор – Жуков Валерий Александрович)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Ликвидация кадрового дефицита в медицинских организациях, оказывающих первичную медико-санитарную помощь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2"/>
            <w:tcW w:w="4343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Привлечение медицинских работников для работы в областных государственных учреждениях здравоохранения –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7 человек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2"/>
            <w:tcW w:w="5227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lang w:val="ru-RU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highlight w:val="none"/>
                <w:lang w:val="ru-RU"/>
              </w:rPr>
              <w:t xml:space="preserve">Обеспеченность населения необходимым числом медицинских работников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Региональный проект 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врейской автономной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 «Создание единого цифрового контура в здравоохранении на основе единой государственной информационной системы здравоохранения»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(куратор – Жуков Валерий Александрович)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год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ind w:left="-15" w:right="0" w:firstLine="0"/>
              <w:spacing w:line="225" w:lineRule="atLeas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ind w:left="-15" w:right="0" w:firstLine="0"/>
              <w:spacing w:line="225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решения следующих задач: - управления отраслью, - осуществления медицинской деятельности в соответствии со стандартами и клиническими рекомендациями, - обеспечения экономической эффективности сферы здравоохранения, - управления персоналом и кадрового обес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печения, - обеспечения эффективного управления цифровой инфраструктурой, - контрольно-надзорной деятельности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эффективной работы 1 региональной медицинской информационной системы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ff0000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highlight w:val="white"/>
                <w:u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  <w:u w:val="none"/>
                <w:lang w:val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  <w:u w:val="none"/>
              </w:rPr>
              <w:t xml:space="preserve">оступность цифровых сервисов посредством внедрения электронного документооборота, в том числе телемедицинских технологий, элек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  <w:u w:val="none"/>
              </w:rPr>
              <w:t xml:space="preserve">тронной записи к врачу, электронных рецептов.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ff0000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ff0000"/>
                <w:sz w:val="24"/>
                <w:szCs w:val="24"/>
                <w:highlight w:val="white"/>
                <w:u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Региональная программа Еврейской автономной области «Модернизация первичного звена здравоохранения в Еврейской автономной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(куратор – Жуков Валерий Александрович)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2024, 2025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6.1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Реализация региональных проектов модернизации первичного звена здравоохранения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Выполнение мероприятий, направленных на модернизацию первичного звена здравоохранения Еврейской автономной области: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риобретены и смонтированы быстровозводимые модульные конструкции объектов медицинских организаций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2024 – 3 единицы,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2025 –  4 единицы;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иобретен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автомобильный транспорт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2025 – 1 единица.;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риобретено оборудование в медицинские организации, оказывающие первичную медико 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к: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2024 – 2 единицы,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2025 – 1 единица;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: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2024 – 3 единиц,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2025 – 2 единицы.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96"/>
              <w:jc w:val="center"/>
              <w:widowControl/>
              <w:rPr>
                <w:rFonts w:ascii="Noto Sans" w:hAnsi="Noto Sans" w:eastAsia="Noto Sans" w:cs="Noto Sans"/>
                <w:iCs w:val="0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white"/>
              </w:rPr>
              <w:t xml:space="preserve">Организовано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  <w:r>
              <w:rPr>
                <w:rFonts w:ascii="Noto Sans" w:hAnsi="Noto Sans" w:eastAsia="Noto Sans" w:cs="Noto Sans"/>
                <w:iCs w:val="0"/>
                <w:color w:val="ff0000"/>
                <w:sz w:val="20"/>
                <w:szCs w:val="20"/>
                <w:highlight w:val="none"/>
              </w:rPr>
            </w:r>
            <w:r>
              <w:rPr>
                <w:rFonts w:ascii="Noto Sans" w:hAnsi="Noto Sans" w:eastAsia="Noto Sans" w:cs="Noto Sans"/>
                <w:iCs w:val="0"/>
                <w:color w:val="ff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«Разработка и реализация программы системной поддержки и повышения качества жизни граждан старшего поколения» – «Старшее поколение»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(куратор – Жуков Валерий Александрович)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7.1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lang w:val="ru-RU"/>
              </w:rPr>
              <w:t xml:space="preserve">Задача 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Повышение качества и доступности медицинской помощи для лиц старше трудоспособного возраста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: 2024 – 17 человек, 2025 год – 18 человек, 2026 – 2028 – 17 человек ежегодно.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Снижение смертности населения от всех причин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8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процессных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мероприятий «Развитие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ских средств и психоактивных веществ, в том числе у детей, профилактика инфекционных заболеваний, включая иммунопрофилактику»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>
          <w:trHeight w:val="305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8.1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Профилактика заболеваний и формирование здорового образа жизни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Организация работы специалистов в медицинских учреждениях области, сбор ежеквартальной отчетности и необходимой аналитической информации, проведение мероприятий в количестве 7000 мероприятий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Приобретение вакцин в количестве 43039 доз ежегодно.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Предоставление услуг населению области по профилактике профессиональной заболеваемости: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2100 посещений ежегодно: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«Областная больница» – 700 посещений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, ОГБУЗ «Николаевская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– 700 посещений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, ОГБУЗ «Смидовичская районная больница»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– 700 посещений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Смертность населения от всех причин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>
          <w:trHeight w:val="206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«Развитие высокотехнологичной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9.1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Возмещение стоимости проезда до места лечения и обратно гражданам, проживающим на территории ЕАО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лечения граждан в других субъектах Российской Федерации – до 60 человек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системы оказания медицинской помощи больным туберкулезом»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10.1</w:t>
            </w:r>
            <w:r/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Оказания медицинской помощи больным туберкулезом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Специализированная медицинская помощь (за исключением высокотехнологичной медицинской помощи), не включенная в базовую программу ОМС: ОГКУЗ «Противотуберкулезный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 условиях дневных стационаров: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320 случаев лечения ежегодно;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 стационарных условиях: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240 случаев госпитализации ежегодно.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Первичная медико-санитарная помощь, не включенная в базовую программу ОМС;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 амбулаторных условиях: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26900 посещений с профилактическими и иными целями ежегодно;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11027 обращений по поводу заболеваний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Смертность от туберкулеза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10.2</w:t>
            </w:r>
            <w:r/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Меры по оказанию медицинской помощи гражданам, больным туберкулезом, за пределами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Оплата за лечение 12 человек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Смертность от туберкулеза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системы оказания медицинской помощи больным с психическими расстройствами и наркологическими заболеваниями»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11.1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Оказания медицинской помощи больным с психическими расстройствами и наркологическими заболеваниями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Специализированная медицинская помощь (за исключением высокотехнологичной медицинской помощи), не включенная в базовую программу ОМС: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«Психиатрическая больница»: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 условиях дневных стационаров: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150 случаев лечения ежегодно;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 стационарных условиях: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1507 случаев госпитализации ежегодно.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Первичная медико-санитарная помощь, не включенная в базовую программу ОМС, в амбулаторных условиях: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"Психиатрическая больница":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58655 посещений с профилактическими и иными целями ежегодно;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8373 обращений по поводу заболевания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оказания скорой, в том числе скорой специализированной, медицинской помощи»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12.1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казания скорой, в том числе скорой специализированной, медицинской помощи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Оказание скорой, в том числе скорой специализированной, медицинской помощи (включая медицинскую эвакуацию), не включенной в базовую программу ОМС, а также оказание медицинской помощи при чрезвычайных ситуациях: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«Станция скорой медицинской помощи»: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374 вызова ежегодно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Смертность населения от всех причин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12.2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гаражей для службы скорой медицинской помощи и неотложной помощи (не менее 7)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Осуществление технологического присоединения к сетям электроснабжения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 модульных гаражей для службы скорой медицинской помощи и неотложной помощи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2024 –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н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е менее 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гаражей.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Смертность населения от всех причин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 «Развитие службы крови»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>
          <w:trHeight w:val="278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13.1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Развитие службы кров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Заготовка, хранение, транспортировка и обеспечение безопасности донорской крови и (или) ее компонентов: 2000 литров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Смертность населения от всех причин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>
          <w:trHeight w:val="338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«Развитие иных специализированных видов медицинской помощи взрослому населению»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14.1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Оказание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иных специализированных видов медицинской помощи взрослому населению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Оказание первичной медико-санитарной медицинской помощи, не включенной в базовую программу ОМС: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в части диагностики и лечения (венерология) в амбулаторных условиях: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4500 обращений по поводу заболевания ежегодно,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15200 посещений с профилактическими и иными целями ежегодно.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Оказание специализированной медицинской помощи (за исключением высокотехнологичной медицинской помощи), не включенной в базовую программу ОМС: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по профилю «Дерматовенерология» (в части венерологии) в условиях дневных стационаров: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2024 – 2028 –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170 случаев лечения ежегодно.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Оказание специализированной медицинской помощи (за исключением высокотехнологичной медицинской помощи), не включенной в базовую программу ОМС, по профилю «Дерматовенерология» (в части венерологии) в стационарных условиях: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2024 – 2028 –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80 случаев госпитализации ежегодно.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Проведение ОГБУЗ «Бюро судебно-медицинской экспертизы» 8455 экспертиз (заключений) ежегодно.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Оказание специализированной медицинской помощи (за исключением высокотехнологичной медицинской помощи), включенной в базовую программу ОМС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«Областная больница», в стационарных условиях: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156 случаев госпитализации ежегодно.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Первичная медико-санитарная помощь, не включенная в базовую программу ОМС, в части диагностики и лечения (ВИЧ-инфекция; клиническая лабораторная диагностика) в амбулаторных условиях: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«Центр профилактики и борьбы со СПИД»: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5300 посещений с профилактическими и иными целями ежегодно, 590 обращений по поводу заболевания ежегодно, 39328 исследований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Смертность населения от всех причин.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Доля ВИЧ-инфицированных лиц, получающих антиретровирусную терапию, в общем количестве лиц, состоящих на диспансерном наблюдении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и развитие пренатальной (дородовой) диагностики нарушения развития ребенка и неонатального скрининг»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15.1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обследования новорожденных детей на наследственные заболевания (неонатальный скрининг), обследование беременных женщин: пренатальная (дородовая) диагностика нарушений развития ребенка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Оказание услуг по обследованию новорожденных детей, проживающих на территории ЕАО, на наследственные заболевания – 1200 человек ежегодно.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Проведение экспертного пренатального УЗИ беременных с оценкой результатов совместно с генетиком –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65 человек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Доля обследованных беременных женщин по комплексу пренатальной (дородовой) диагностики от числа поставленных на учет в первый триместр беременных;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охват детей до 1 года неонатальным скринингом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15.2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2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Проведено массовое обследование новорожденных на врожденные и (или) наследственные заболевания в рамках расширенного неонатального скрининга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2024 – не менее 1200 человек,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2025 – 2028 – не менее 1100 человек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Доля обследованных беременных женщин по комплексу пренатальной (дородовой) диагностики от числа поставленных на учет в первый триместр беременных;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охват детей до 1 года неонатальным скринингом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15.3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Укрепление репродуктивного здоровья, сокращение числа абортов, применение вспомогательных репродуктивных технологий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К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оличество сотрудников медицинских областных государственных учреждений, функции и полномочия учредителя которых осуществляет департамент здравоохранения правительства Еврейской автономной области, прошедших обучение по применению в работе речевых модулей д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я создания у женщин положительных установок на рождение детей в ситуации репродуктивного выбора, а также реализации мотивационного анкетирования всех женщин, обратившихся за медицинской услугой по прерыванию беременности, направленного на сохранение береме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нности: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2024  – 80 человек,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2025 – 2028  - 100 человек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 «Реализация комплекса мероприятий по развитию медицинской реабилитации и санаторно-курортного лечения, в том числе детей»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16.1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Санаторное оздоровление детей – 40 человек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Смертность детей от 0 до 17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«Организация кадрового обеспечения областных государственных учреждений здравоохранения»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17.1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Обеспечение кадрами областных государственных учреждений здравоохранения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Реализация основных образовательных программ среднего профессионального образования: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295 человек ежегодно.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Реализация дополнительных профессиональных образовательных программ: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29880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человеко-часов ежегодно.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17.2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Задача 2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Социальная поддержка педагогических работников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Исполнение публичных обязательств</w:t>
            </w:r>
            <w:r/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ОГПОБУ «Биробиджанский медицинский колледж»: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 человек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17.3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Задача 3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Выплата стипендий 21 ординатору, обучающемуся в медицинских государственных образовательных организациях высшего образования, ежегодно.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Выплата стипендий губернатора области 27 студентам, обучающимся в медицинских государственных образовательных организациях высшего образования,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>
          <w:trHeight w:val="290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18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«Стимулирование привлечения и закрепления медицинских работников, имеющих высшее и среднее медицинское образование»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18.1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еализация мероприятий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селенные пункты, либо рабочие поселки, либо поселки городского типа, либо города с населением до 50 тысяч человек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Е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диновременная компенсационная выплата медицинским работникам, работающим в областных учреждениях здравоохранения, в рамках Соглашения о предоставлении субсидии бюджету Еврейской автономной области из федерального бюджета на реализацию отдельных мероприятий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государственной программы Российской Федерации «Развитие здравоохранения»: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2024 – 18 человек, 2025 – 19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человек,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  <w14:ligatures w14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  <w14:ligatures w14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2026 – 2028 – 19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человек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  <w14:ligatures w14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  <w14:ligatures w14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highlight w:val="none"/>
                <w14:ligatures w14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«Переподготовка и повышение квалификации медицинских кадров»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19.1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переподготовки и повышения квалификации медицинских кадров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Аттестация медицинских и фармацевтических работников – не менее 250 работников в год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системы лекарственного обеспечения в амбулаторных условиях»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>
          <w:trHeight w:val="219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Ежегодно предоставляется льгота: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– не более 10 гражданам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20.2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Ежегодно предоставляется льгота: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– не более 5 гражданам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20.3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Задача 3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Ежегодно предоставляется льгота: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– 8700 гражданам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20.4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же детей, рожденных ВИЧ-инфицированными матерями, проживающих на территории Еврейской автономной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Предоставление льготы не менее 2000 граждан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20.5</w:t>
            </w:r>
            <w:r/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граждан лекарственными препаратами, изделиями медицинского назначения в рамках Федерального закона от 17.07.1999 № 178-ФЗ «О государственной социальной помощи», а также обеспечение продуктами лечебного питания для детей-инвалидов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5594 человек лекарственными препаратами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помощью, смертность детей от 0 до 17 лет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20.6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детей с сахарным диабетом 1-го типа в возрасте от 2 до 4 лет системами непрерывного мониторинга глюкозы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не менее 3-х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сахарным диабетом</w:t>
            </w:r>
            <w:r>
              <w:rPr>
                <w:rFonts w:ascii="Times New Roman" w:hAnsi="Times New Roman" w:eastAsia="Times New Roman" w:cs="Times New Roman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Cs w:val="0"/>
                <w:sz w:val="24"/>
                <w:szCs w:val="24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 типа в возрасте от 2-х до 4-х лет системами непрерывного мониторинга глюкозы, в том числе российского производства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помощью, смертность детей от 2 до 4 лет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20.07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детей с сахарным диабетом 1-го типа в возрасте от 4 до 17 лет включительно системами непрерывного мониторинга глюкозы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сахарным диабетом</w:t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 типа в возрасте 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-х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лет системами непрерывного мониторинга глюкозы, в том числе российского производства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: в 2024 – 44 человека,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2025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47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помощью, смертность детей от 4 до 17 лет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21.1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Развитие информатизации в здравоохранении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эффективной работы 1 региональной медицинской информационной системы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оказания паллиативной помощи взрослому населению и детям»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22.1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Оказание паллиативной помощи, в том числе детям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Оказание паллиативной медицинской помощь в стационарных условиях: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«Детская областная больница» – 365 койко-дней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ОГБУЗ «Смидовичская районная больница»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койко-дней ежегодно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«Николаевская районная больница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–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1750 койко-дней ежегодно.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Паллиативная медицинская помощь в амбулаторных условия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х: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«Областная больница» – 462 посещения ежегодно,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«Онкологический диспансер» 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243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посещения ежегодно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Паллиативная медицинская помощь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условия оказания: амбулаторно на дому выездными патронажными бригадами):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«Детская областная больница»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2024 – 140 выездов, 2025 – 20208 – 126 выездов;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«Онкологический диспансер» – 414  выездов ежегодно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22.2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беспечение медицинских организаций,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 числе для использования на дому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ациент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нуждающи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ся в паллиативной медицинской помощи, для купирования тяжелых симптомов заболевания, в том числе для обезболивания, лекарственными препаратами, содержащими наркотические средства и психотропные вещества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900 упаковок ежегодно.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не менее 2-х пациентов ежегодно,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нуждающиеся в паллиативной медицинской помощи, медицинскими изделиями, предназначенными для поддержания функций органов и систем организма человека, для использования на дому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Приобретен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автомобил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детям, предусмотренными положением об организации оказания паллиативной медицинской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 2024 году – 1 единица.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Дооснащен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(переоснащен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оснащен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структурны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медицинских организаций,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соответствии со стандартами оснащения, предусмотренными положением об организации 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ллиативной медицинской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– не менее 4-х учреждений ежегодно.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23.1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деятельности областных учреждений здравоохранения особого типа и осуществление иных мероприятий в сфере здравоохранения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Создание, хранение, использование и восполнение резерва медицинских ресурсов для ликвидации медико-санитарных последствий чрезвычайных ситуаций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«Областная больница» – формирование 4 отчетов ежегодно.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«Медицинский информационно аналитический центр»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: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сбор, обработка и анализ медицинских статистических данных – формирование не менее 4237 отчетов ежегодно;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ведение информационных ресурсов и баз данных –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не менее 7 ежегодно;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осуществление работ по обеспечению требований информационной безопасности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региональной медицинской информационной системы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редоставление программного обеспечения, инженерной, вычислительной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 информационно-телекоммуникационной инфраструктуры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обработка телефонных вызовов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единой службы оперативной помощи гражданам по номеру «122» –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не менее 3516 вызовов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.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>
          <w:trHeight w:val="550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«Предоставление услуг патолого-анатомическими отделениями областных учреждений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24.1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деятельности областных учреждений здравоохранения особого типа и осуществление иных мероприятий в сфере здравоохранения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Проведение вскрытий ежегодно: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«Областная больница» –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275 вскрытий ежегодно;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«Облученская районная больница» –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25 вскрытий ежегодно;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«Ленинская центральная районная больница» –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25 вскрытий ежегодно;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«Смидовичская районная больница» –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25 вскрытий ежегодно;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ОГБУЗ «Николаевская районная больница» – 25 вскрытий ежегодно.</w:t>
            </w:r>
            <w:r/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 «Страховые взносы на обязательное медицинское страхование неработающего населения»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25.1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Задача 1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Обязательное медицинское страхование неработающего населения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Обеспечение неработающего населения обязательным медицинским страхованием:</w:t>
            </w:r>
            <w:r/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89198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 человек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 процессных мероприятий «Совершенствование системы оказания медицинской помощи больным прочими заболеваниями»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26.1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еализация мероприятий по предупреждению и борьбе с социально значимыми инфекционными заболеваниями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хват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медицинским освидетельствованием на 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инфекцию 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не менее 33 процентов ежегодно.</w:t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хват населения профилактическими осмотрами на туберкуле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 – не менее 73 процентов ежегодно.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ровень информированности населения в возрасте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 лет по вопросам ВИЧ-инфекции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не менее 93 процентов ежегодно.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Доля ВИЧ-инфицированных лиц, получающих антиретровирусную терапию, в общем количестве лиц, состоящих на диспансерном наблюдении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Смертность от туберкулеза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 процессных мероприятий «Предоставление иного межбюджетного трансферта из средств областного бюджета бюджету территориального фо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</w:tc>
      </w:tr>
      <w:tr>
        <w:trPr>
          <w:trHeight w:val="642"/>
        </w:trPr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27.1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дополнительного финансирования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Д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 по содержанию 3 отделений скорой медицинской помощи в Облученском муниципаль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н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ом районе (Бираканского, Кульдурского, Пашковского), 1 дополнительной бригады скорой медицинской помощи в Амурзетском отделении Октябрьского муниципального района ЕАО ОГБУЗ «Станция скорой медицинской помощи» и на оплату расходов на ведение дела страховых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медицинских организаций в размере 1,0 процента от суммы средств трансферта, поступивших в страховые медицинские организации по дифференцированным подушевым нормативам, ежегодно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медицинской помощью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28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5"/>
            <w:tcW w:w="1371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4"/>
            <w:tcW w:w="10381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за реализацию: департамент здравоохранения правительства Еврейской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Срок реализации: 2024 – 2028 годы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28.1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4144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Задача 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left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Исполнение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gridSpan w:val="3"/>
            <w:tcW w:w="6236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Проведение ремонтных работ в ОГБУЗ «Областная больница».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«Кульдур»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3334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Удовлетворенность населения условиями оказания медицинской помощи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</w:tbl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4. Финансовое обеспечение государственной программы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2028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4"/>
        <w:ind w:left="0" w:firstLine="0"/>
        <w:jc w:val="center"/>
        <w:spacing w:before="0" w:after="0" w:line="240" w:lineRule="auto"/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/>
    </w:p>
    <w:p>
      <w:pPr>
        <w:pStyle w:val="896"/>
        <w:jc w:val="center"/>
        <w:widowControl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4.1. Финансовое обеспечение государственной программы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2028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за счет средств областного бюджета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4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4"/>
        <w:tblW w:w="0" w:type="auto"/>
        <w:tblLayout w:type="fixed"/>
        <w:tblLook w:val="04A0" w:firstRow="1" w:lastRow="0" w:firstColumn="1" w:lastColumn="0" w:noHBand="0" w:noVBand="1"/>
      </w:tblPr>
      <w:tblGrid>
        <w:gridCol w:w="2687"/>
        <w:gridCol w:w="2765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/>
        <w:tc>
          <w:tcPr>
            <w:tcW w:w="2687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2765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Код бюджетной классификации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tcW w:w="706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тыс. рублей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ГРБС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Рз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ПР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6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ЦСР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2024 год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2025 год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2026 год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2027 год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8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2028 год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>
          <w:trHeight w:val="272"/>
        </w:trPr>
        <w:tc>
          <w:tcPr>
            <w:tcW w:w="268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8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Здравоохранение в Еврейской автономной области» на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2024 – 2028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1300000000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9882915,00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2223758,80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2045868,60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1896371,00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1858458,30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1858458,30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9882915,00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2223758,80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2045868,60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1896371,00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1858458,30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1858458,30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38860,50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35106,40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3754,10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территориальный фонд обязательного медицинского страхования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58952,00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29476,00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29476,00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92432,30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21009,00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17850,80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17857,50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17857,50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17857,50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«Детская 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5837,80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1389,80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1112,00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1112,00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1112,00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1112,00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«Психиатрическая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1061082,80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242814,00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204337,40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204643,80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204643,80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204643,80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«Инфекционная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1442,30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343,50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274,70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274,70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274,70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274,70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«Онкологический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5018,20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1239,80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946,90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946,90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946,90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77888,30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18300,40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14859,70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737792,80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169018,10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142073,90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142233,60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142233,60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142233,60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61648,90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14763,50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12525,80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12525,80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12525,80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«Станция переливания крови»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257728,00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57086,00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48623,00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73038,20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16580,60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13736,10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14240,50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14240,50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14240,50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249738,20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80640,60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57974,40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57974,40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26574,40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26574,40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208058,70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60199,10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261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383,90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104,60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45,30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«Теплоозерская центральная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959,20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553,00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406,20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1160,90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640,10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«Октябрьская центральная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3616,00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3616,00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11609,70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1977,40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1540,70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2697,20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2697,20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2697,20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9173,50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2528,20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1671,30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1671,30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1671,30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273511,30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74585,70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49713,40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49713,40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49713,40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38860,50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35106,40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3751,10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«Развитие системы оказания первичной медико-санитарной помощи»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N100000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15587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2929,30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1 «Обеспечение закупки авиационных работ в целях оказания медицинской помощи за счет средств областного бюджета»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N155540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15587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2929,30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N155540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15587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2929,30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N155540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15587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2929,30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«Борьба с сердечно-сосудистыми заболеваниями»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782,60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174,70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52862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541,90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174,70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52862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541,90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174,70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245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Оснащение оборудованием региональных сосудистых центров и первичных сосудистых отделений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251920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251920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N300000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83,80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«Создание и оснащение референс-центров для проведения иммуногистохимически, патоморфологических исследований и лучевых методов исследований,</w:t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переоснащение сети региональных медицинских организаций, оказывающих помощь больным онкологическими заболеваниями в субъектах Российской Федерации»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N351900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83,80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83,80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«Онкологический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N351900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83,80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«Обеспечение медицинских организаций системы здравоохранения квалифицированными кадрами в Еврейской автономной области»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N500000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56331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12604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закона Еврейской автономной области от 30.10.2013 № 390-ОЗ «О мерах по привлечению медицинских работников для работы в областных учреждениях здравоохранения и их закреплению»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86270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56331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12604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1003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86270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56331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12604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10931,80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86270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17293,60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4117,60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3294,00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3294,00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3294,00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3294,00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«Детская 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86270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3212,90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612,00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612,00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612,00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612,00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«Психиатрическая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86270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2187,20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520,80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416,60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416,60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416,60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416,60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«Инфекционная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86270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1442,30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343,50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274,70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274,70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274,70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274,70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«Онкологический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86270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3261,40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776,60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621,20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621,20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621,20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621,20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Противотуберкулезный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86270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7034,40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1701,20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1333,30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1333,30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1333,30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1333,30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Региональный проект 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врейской автономной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 «Создание единого цифрового контура в здравоохранении на основе единой государственной информационной системы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N700000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545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545,30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единого цифрового контура</w:t>
            </w:r>
            <w:r/>
          </w:p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 здравоохранении на основе единой государственной информационной системы здравоохранения (ЕГИСЗ)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N753650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545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545,30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1403"/>
        </w:trPr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545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545,30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N753650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545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545,30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единого цифрового контура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 здравоохранении на основе единой государственной информационной системы</w:t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здравоохранения (ЕГИСЗ) за счет средств областного бюджета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N7V1140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N7V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1140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Региональная программа Еврейской автономной области «Модернизация первичного звена здравоохранения в Еврейской автономной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44438,90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40278,60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4160,30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«Реализация региональных проектов модернизации первичного звена»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5918,70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1758,40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4160,30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1758,40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4160,30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1758,40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4160,30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766,20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406,20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Николаевская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382,50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382,50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1758,40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4160,30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1081,50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1081,50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1081,50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1081,50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1081,50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1081,50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1081,50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1081,50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279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
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1148,70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742,50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406,20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1148,70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742,50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406,20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766,20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406,20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Николаевская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382,50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382,50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214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риобретение автомобильного транспорта в медицинские организации, оказывающие первичную медико-санитарную помощь, а также в медицинские организации, расположенные в том числе в сельской местности, рабочих поселках, поселках городского типа и малых городах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численностью до 50 тыс. человек,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х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184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3068,50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1015,90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262,70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3068,50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1015,90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262,70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3068,50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1015,90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262,70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3068,50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1015,90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262,70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302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территорий под возводимые модульные конструкции и врачебные амбулатории, расположенные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28390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28390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443"/>
        </w:trPr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28390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28390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земельных участков под монтаж быстровозводимых модульных конструкций врачебных амбулаторий,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28390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28390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239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Благоустройство земельных участков врачебных амбулаторий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28390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28390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28390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28390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19719,50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проектно-сметной документации в целях капитального ремонта ОГБУЗ «Октябрьская центральная районная больница»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(амбулаторно-поликлиничесий корпус, инфекционное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N922610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3616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3616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N922610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3616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3616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«Октябрьская центральная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N922610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3616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3616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4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Технологическое присоединение к сетям электроснабжения быстровозводимых модульных конструкций объектов медицинских организаций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N922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813,70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813,70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N922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813,70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813,70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N922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«Теплоозерская центральная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N922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N922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477,30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477,30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Смидовичская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N922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5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V3650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14731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14371,00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V3650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14731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14371,00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V3650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14731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14371,00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N9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V3650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14731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14371,00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К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омплекс  процессных мероприятий «Развитие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ских средств и психоактивных веществ, в том числе у детей, профилактика инфекционных заболеваний, включая иммунопрофилактику»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132816,10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29299,50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25726,60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25930,00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25930,00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25930,00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10664,80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2535,60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1300100590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10664,80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2535,60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10664,80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2535,60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356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«Профилактика инфекционных заболеваний, включая иммунопрофилактику (приобретение вакцин)»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1300185310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119471,60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26271,60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23300,00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23300,00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23300,00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23300,00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1300185310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119471,60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26271,60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23300,00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23300,00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23300,00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23300,00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194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больница», ОГБУЗ «Николаевская районная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2679,70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394,30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597,70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597,70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597,70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2679,70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394,30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597,70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597,70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597,70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1229,50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292,30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1122,10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121,90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97,50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300,90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300,90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300,90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1300100590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328,10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78,10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«Развитие высокотехнологичной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1300200000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9250,00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 </w:t>
            </w:r>
            <w:r>
              <w:rPr>
                <w:rFonts w:ascii="Times New Roman" w:hAnsi="Times New Roman" w:cs="Times New Roman"/>
              </w:rPr>
              <w:t xml:space="preserve">«Возмещение стоимости проезда до места лечения и обратно гражданам, проживающим на территории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1300206230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9250,00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1300206230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9250,00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1850,00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328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системы оказания медицинской помощи больным туберкулезом»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1300300000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752602,20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171696,20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145114,30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145263,90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145263,90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145263,90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1300300590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729420,70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167059,90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140478,00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140627,60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140627,60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140627,60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1300300590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729420,70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167059,90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140478,00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140627,60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140627,60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140627,60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1300300590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729420,70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167059,90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140478,00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140627,60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140627,60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140627,60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274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Меры по оказанию медицинской помощи гражданам, больным туберкулезом, за пределами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1300348530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23181,50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4636,30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4636,30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4636,30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4636,30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4636,30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1300348530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23181,50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4636,30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4636,30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4636,30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4636,30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4636,30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системы оказания медицинской помощи больным с психическими расстройствами и наркологическими заболеваниями»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1300400590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1058895,60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242293,20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203920,80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1300400590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1058895,60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242293,20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203920,80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1300400590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1058895,60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242293,20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203920,80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1300400590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1058895,60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242293,20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203920,80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204227,20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оказания скорой, в том числе скорой специализированной, медицинской помощи»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1300500590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43277,20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9049,90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6303,60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317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«Станция скорой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1300500590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42032,90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7805,60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6303,60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1300500590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42032,90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7805,60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6303,60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1300500590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42032,90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7805,60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6303,60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261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гаражей для службы скорой медицинской помощи и неотложной помощи (не менее 7)»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1300500590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1244,30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1244,30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1300500590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1244,30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1244,30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1300500590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1244,30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1244,30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 «Развитие службы крови»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1300600000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257728,00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57086,00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48623,00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«Станция переливания крови»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1300600590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257728,00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57086,00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48623,00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1300600590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257728,00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57086,00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48623,00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«Станция переливания крови»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1300600590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257728,00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57086,00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48623,00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«Развитие иных специализированных видов медицинской помощи 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362858,20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95976,50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66304,10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66859,20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66859,20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66859,20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Мероприятие1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77888,30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18300,40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14859,70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77888,30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18300,40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14859,70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77888,30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18300,40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14859,70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14909,40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(выполнение работ) ОГБУЗ «Бюро судебно-медицинской экспертизы» – проведение судебно-медицинских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193417,70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45558,10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193417,70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45558,10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193417,70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45558,10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Мероприяие 3 «Приобретение газового хроматогрофа для нужд ОГБУЗ «Бюро судебно-медицинской экспертизы»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1300722150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14641,00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14641,00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1300722150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14641,00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14641,00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1300722150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14641,00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14641,00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4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Медицинская помощь при заболеваниях, включенных в базовую программу ОМС, гражданам РФ, не идентифицированным и не застрахованным в системе ОМС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center" w:pos="127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4384,40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993,60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4384,40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993,60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4384,40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993,60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Мероприятие 5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72526,80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16483,40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13631,80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72526,80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16483,40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13631,80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72526,80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16483,40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13631,80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6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Оплата по контракту на ремонт и восстановление асфальтового покрытия территории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«Октябрьская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1300717054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1300717054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«Октябрьская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1300717054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7 «Р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емонт и восстановление асфальтобетонного покрытия территории ОГБУЗ «Октябрьская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1300717054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1300717054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«Служба заказчика (застройщика) в Еврейской автономной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1300717054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и развитие пренатальной (дородовой) диагностики нарушения развития ребенка и неонатального скрининг»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1300900000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23145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4615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46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32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4632,60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4632,60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4632,60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189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обследования новорожденных детей на наследственные заболевания (неонатальный скрининг), обследование беременных женщин: пренатальная (дородовая) диагностика нарушений развития ребенка»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1300970720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21446,50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1300970720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21446,50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1300970720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21446,50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4289,30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R3850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R3850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за счет средств областного бюджета»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13009V3850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13009V3850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4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Укрепление репродуктивного здоровья, сокращение числа абортов, применение вспомогательных репродуктивных технологий»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1300970710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1300970710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 «Реализация комплекса мероприятий по развитию медицинской реабилитации и санаторно-курортного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1301000000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9425,00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«Санаторное оздоровление детей, страдающих различными хроническими заболеваниями, состоящих на учете в лечебном учреждении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1301070650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9425,00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1417"/>
        </w:trPr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0707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1301070650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9425,00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1885,00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«Организация кадрового обеспечения областных государственных учреждений здравоохранения»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1301100000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287128,90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78585,70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52135,80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52135,80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52135,80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52135,80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Мероприятие 1 «Расходы на обеспечение деятельности (оказание услуг) 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273424,50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74498,90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273424,50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74498,90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0704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0705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1004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273424,50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74498,90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49731,40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212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Социальная поддержка педагогических работников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1301186280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86,80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86,80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1301186280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86,80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86,80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1301186280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86,80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86,80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1301109270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13617,60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4000,00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1301109270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13617,60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4000,00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2404,40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«Стимулирование привлечения и закрепления медицинских работников, имеющих высшее и среднее медицинское образование»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1301200000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еализация мероприятий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селенные пункты, либо рабочие поселки, либо поселки городского типа, либо города с населением до 50 тысяч человек»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R1380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R1380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«Переподготовка и повышение квалификации медицинских кадров»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1301300000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Переподготовка и повышение квалификации медицинских кадров»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1301340780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>
          <w:trHeight w:val="1365"/>
        </w:trPr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1301340780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системы лекарственного обеспечения в амбулаторных условиях»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1017684,20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251695,40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1301505530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1301505530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1301586060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1301586060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1301586200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1301586200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4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же детей, рожденных ВИЧ-инфицированными матерями, проживающих на территории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1301586220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1301586220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5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детей с сахарным диабетом 1-го типа в возрасте от 2 до 4 лет системами непрерывного мониторинга глюкозы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R1060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R1060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>
          <w:trHeight w:val="294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Мероприятие 6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детей с сахарным диабетом 1-го типа в возрасте от 4 до 17 лет включительно системами непрерывного мониторинга глюкозы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R1070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13015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R1070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1301600000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112692,80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49892,80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Техническая поддержка региональной медицинской информационной системы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1301685320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109908,50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47108,50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1301685320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109908,50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47108,50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1301685320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109908,50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47108,50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«Интеграция СПО «Исток» (подсистемы для обеспечения работы ОГБУЗ «Станция скорой медицинской помощи») с ГИСЗ «РМИС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1301685320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2784,30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2784,30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1301685320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2784,30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2784,30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1301685320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2784,30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2784,30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оказания паллиативной помощи взрослому населению и детям»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19912,60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4038,00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3211,60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«Детская областная больница»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«Онкологический диспансер»,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больница»,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18063,80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3499,10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2885,10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18063,80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3499,10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2885,10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487,60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93,50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93,50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100,2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100,2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100,2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«Детская 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2624,90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624,90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«Онкологический диспансер»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379,40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316,50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8011,11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1201,80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987,50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>
          <w:trHeight w:val="599"/>
        </w:trPr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5267,20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1199,50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987,60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>
          <w:trHeight w:val="273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«Обеспечение медицинских организаций,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изделиями, в том числе для использования на дому»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1848,80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538,90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1848,80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538,90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803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298,50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126,40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126,40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126,40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1301800000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«Областная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1301800590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1301800590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1301800590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21205,80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4944,20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4065,40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4065,40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4065,40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4065,40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1301800590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139284,40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32986,80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«Предоставление услуг патолого-анатомическими отделениями областных учреждений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1301900000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«Облученская районная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«Ленинская центральная районная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больница»,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(патолого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-анатомические отделения)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1301900590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1301900590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1301900590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15720,10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3742,90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1301900590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324,60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1301900590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683,60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162,80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130,20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130,20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130,20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1301900590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1301900590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 «Страховые взносы на обязательное медицинское страхование неработающего населения»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1302000000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Обязательное медицинское страхование неработающего населения»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1302077101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1003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1302077101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 процессных мероприятий «Совершенствование системы оказания медицинской помощи больным прочими заболеваниями»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1301200000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1849,10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354,20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366,90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1 «Профилактика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04"/>
        </w:trPr>
        <w:tc>
          <w:tcPr>
            <w:tcW w:w="268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2 «Закупка диагнос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355,50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355,50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355,50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67,60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3 «Закупка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1377,70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257,00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262,60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1377,70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257,00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262,60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ОГКУЗ «Противотуберкулезный диспанср»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13021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en-US"/>
              </w:rPr>
              <w:t xml:space="preserve">R2020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1377,70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257,00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262,60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 процессных мероприятий «Предоставление иного межбюджетного трансферта из средств областного бюджета бюджету территориального фо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1302500000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1 «Предоставление иного межбюджетного трансферта из средств областного бюджета бюджету территориального 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1302570960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0904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1302570960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1303100000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8358,40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1039,30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 ремонтных работ в ОГБУЗ «Областная больница»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1303155050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1303155050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pStyle w:val="894"/>
              <w:jc w:val="left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68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«Кульдур»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1303155050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39,30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39,30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  <w:tr>
        <w:trPr/>
        <w:tc>
          <w:tcPr>
            <w:tcW w:w="26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002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0909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:lang w:val="ru-RU"/>
              </w:rPr>
              <w:t xml:space="preserve">1303155050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39,30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39,30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0"/>
                <w:szCs w:val="20"/>
              </w:rPr>
            </w:r>
          </w:p>
        </w:tc>
      </w:tr>
    </w:tbl>
    <w:p>
      <w:pPr>
        <w:pStyle w:val="894"/>
        <w:ind w:left="0" w:firstLine="0"/>
        <w:jc w:val="center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4"/>
        <w:ind w:left="0" w:firstLine="0"/>
        <w:jc w:val="center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lang w:val="ru-RU"/>
        </w:rPr>
        <w:t xml:space="preserve">4.2. Финансовое обеспечение государственной программы 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2028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left="0" w:firstLine="0"/>
        <w:jc w:val="center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за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lang w:val="ru-RU"/>
        </w:rPr>
        <w:t xml:space="preserve">счет средств областного бюджета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и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lang w:val="ru-RU"/>
        </w:rPr>
        <w:t xml:space="preserve">прогнозная оценка привлекаемых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на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lang w:val="ru-RU"/>
        </w:rPr>
        <w:t xml:space="preserve">реализацию ее 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94"/>
        <w:ind w:left="0" w:firstLine="0"/>
        <w:jc w:val="center"/>
        <w:spacing w:before="0" w:after="0" w:line="240" w:lineRule="auto"/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lang w:val="ru-RU"/>
        </w:rPr>
        <w:t xml:space="preserve">целей средств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 федерального бюджета,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lang w:val="ru-RU"/>
        </w:rPr>
        <w:t xml:space="preserve">бюджетов муниципальных образований</w:t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894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</w:rPr>
        <w:t xml:space="preserve">Еврейской автономной области, </w:t>
      </w:r>
      <w:r>
        <w:rPr>
          <w:rFonts w:ascii="Times New Roman" w:hAnsi="Times New Roman" w:eastAsia="Courier New" w:cs="Times New Roman"/>
          <w:b w:val="0"/>
          <w:i w:val="0"/>
          <w:strike w:val="0"/>
          <w:sz w:val="28"/>
          <w:szCs w:val="28"/>
          <w:lang w:val="ru-RU"/>
        </w:rPr>
        <w:t xml:space="preserve">внебюджетных источников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Cs w:val="0"/>
          <w:sz w:val="24"/>
          <w:szCs w:val="24"/>
        </w:rPr>
      </w:r>
      <w:r>
        <w:rPr>
          <w:rFonts w:ascii="Times New Roman" w:hAnsi="Times New Roman" w:cs="Times New Roman"/>
          <w:bCs w:val="0"/>
          <w:sz w:val="24"/>
          <w:szCs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1"/>
        <w:gridCol w:w="1559"/>
        <w:gridCol w:w="1417"/>
        <w:gridCol w:w="1417"/>
        <w:gridCol w:w="1417"/>
        <w:gridCol w:w="14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Здравоохранение в Еврейской автономной области» на 2024 -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2028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11627756,30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2710180,20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2547697,00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2227348,50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2071265,30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2071265,30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1744841,30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486421,40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501828,40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330977,50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9882915,00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2223758,80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2045868,60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«Развитие системы оказания первичной медико-санитарной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354258,20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66574,10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68282,10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338670,80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63644,80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65277,70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15587,40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2929,30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3004,40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Обеспечение закупки авиационных работ в целях оказания медицинской помощи за счет средств областного бюджета»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354258,20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66574,10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68282,10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338670,80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63644,80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65277,70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69916,10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15587,40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2929,30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3004,40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3217,90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«Борьба с сердечно-сосудистыми заболеваниями»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78259,80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41428,80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17466,90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19364,10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19364,10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19364,10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77477,20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40014,50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17292,20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19170,50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19170,50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19170,50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782,60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414,30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174,70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193,60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193,60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54194,50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17363,50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17466,90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19364,10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19364,10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19364,10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53652,60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17189,90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17292,20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19170,50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19170,50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19170,50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541,90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173,60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174,70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193,60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193,60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Оснащение оборудованием региональных сосудистых центров и первичных сосудистых отделений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24065,30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24065,30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23824,60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23824,60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240,70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240,70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«Создание и оснащение референс-центров для проведения иммуногистохимических, патоморфологических исследований и лучевых методов исследований,</w:t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переоснащение сети региональных медицинских организаций, оказывающих помощь больным онкологическими заболеваниями в субъектах Российской Федерации»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8380,10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8296,30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83,80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Cs w:val="0"/>
                <w:szCs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4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«Обеспечение медицинских организаций системы здравоохранения квалифицированными кадрами в Еврейской автономной области»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56331,8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56331,8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закона Еврейской автономной области от 30.10.2013 № 390-ОЗ «О мерах по привлечению медицинских работников для работы в областных учреждениях здравоохранения и их закреплению»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56331,8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56331,8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12604,60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Региональный проект 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врейской автономной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 «Создание единого цифрового контура в здравоохранении на основе единой государственной информационной системы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единого цифрового контура</w:t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 здравоохранении на основе единой государственной информационной системы здравоохранения (ЕГИСЗ)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54532,00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53986,70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единого цифрового контура</w:t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 здравоохранении на основе единой государственной информационной системы</w:t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здравоохранения (ЕГИСЗ) за счет средств областного бюджета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Региональная программа Еврейской автономной области «Модернизация первичного звена здравоохранения в Еврейской автономной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302176,20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117272,90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184903,30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257737,30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180743,00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44438,90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40278,60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4160,30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«Реализация региональных проектов модернизации первичного звена»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263656,00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78752,70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184903,30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257737,30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180743,00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5918,70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1758,40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4160,30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48066,70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48066,70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46985,20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46985,20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1081,50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1081,50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
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51055,00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18055,00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49906,30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32257,50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17648,80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1148,70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743,50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риобретение автомобильного транспорта в медицинские организации, оказывающие первичную медико-санитарную помощь, а также в медицинские организации, расположенные в том числе в сельской местности, рабочих поселках, поселках городского типа и малых городах с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численностью до 50 тыс. человек,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х районах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164534,3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45752,70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118781,60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160845,80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44736,80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116109,00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территорий под возводимые модульные конструкции и врачебные амбулатории, расположенные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19719,50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19719,50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19719,50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19719,50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земельных участков под монтаж быстровозводимых модульных конструкций врачебных амбулаторий,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Благоустройство земельных участков врачебных амбулаторий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19719,50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19719,50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19719,50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19719,50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3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проектно-сметной документации в целях капитального ремонта ОГБУЗ «Октябрьская центральная районная больница»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(амбулаторно-поликлиничесий корпус, инфекционное отделение)»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4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Технологическое присоединение к сетям электроснабжения быстровозводимых модульных конструкций объектов медицинских организаций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813,7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5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14371,00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14371,00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14371,00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14371,00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«Разработка и реализация программы системной поддержки и повышения качества жизни граждан старшего поколения» – «Старшее поколение»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>
          <w:trHeight w:val="3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25,30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rPr>
          <w:trHeight w:val="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процессных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мероприятий «Развитие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ских средств и психоактивных веществ, в том числе у детей, профилактика инфекционных заболеваний, включая иммунопрофилактику»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132816,10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29299,50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25726,60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132816,10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29299,50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25726,60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25930,00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10664,80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2535,60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10664,80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2535,60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Профилактика инфекционных заболеваний, включая иммунопрофилактику (приобретение вакцин)»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119471,60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26271,60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119471,60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26271,60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23300,00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 3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больница»,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2272,90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2272,90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597,70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1229,50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1229,50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234,30</w:t>
            </w:r>
            <w:r/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121,90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97,50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121,90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97,50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300,90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328,10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328,10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«Развитие высокотехнологичной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 xml:space="preserve">1 «</w:t>
            </w:r>
            <w:r>
              <w:rPr>
                <w:rFonts w:ascii="Times New Roman" w:hAnsi="Times New Roman" w:cs="Times New Roman"/>
              </w:rPr>
              <w:t xml:space="preserve">Возмещение стоимости проезда до места лечения и обратно гражданам, проживающим на территории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9250,00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системы оказания медицинской помощи больным туберкулезом»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752602,20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171969,20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145114,30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752602,20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171969,20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145114,30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145263,90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729420,70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167059,90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140478,00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729420,70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167059,90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140478,00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140627,60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Меры по оказанию медицинской помощи гражданам, больным туберкулезом, за пределами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23181,50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23181,50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системы оказания медицинской помощи больным с психическими расстройствами и наркологическими заболеваниями»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1058895,60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242293,20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203920,80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204227,20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оказания скорой, в том числе скорой специализированной, медицинской помощи»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43277,20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9049,90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43277,20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9049,90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«Станция скорой медицинской помощи»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42032,90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7805,60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42032,90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7805,60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6303,60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9307,90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гаражей для службы скорой медицинской помощи и неотложной помощи (не менее 7)»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1244,30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 «Развитие службы крови»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«Станция переливания крови»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257728,00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57086,00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48623,00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«Развитие иных специализированных видов медицинской помощи взрослому населению»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362858,20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95976,50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66304,10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362858,20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95976,50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66304,10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66859,20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77888,30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18300,40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14859,70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77888,30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18300,40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14859,70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14909,40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(выполнение работ) ОГБУЗ «Бюро судебно-медицинской экспертизы» – проведение судебно-медицинских экспертиз»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193417,70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45558,10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193417,70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45558,10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36964,90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3 «Приобретение газового хроматогрофа для нужд ОГБУЗ «Бюро судебно-медицинской экспертизы»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14641,00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4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Медицинская помощь при заболеваниях, включенных в базовую программу ОМС, гражданам РФ, не идентифицированным и не застрахованным в системе ОМС 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4384,40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993,60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847,70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847,70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847,70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847,70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4384,40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993,60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847,70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847,70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847,70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847,70</w:t>
            </w:r>
            <w:r/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5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72526,80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16483,40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13631,80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72526,80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16483,40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13631,80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14137,20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6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Оплата по контракту на ремонт и восстановление асфальтового покрытия территории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«Октябрьская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7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Ремонт и восстановление асфальтобетонного покрытия территории ОГБУЗ «Октябрьская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и развитие пренатальной (дородовой) диагностики нарушения развития ребенка и неонатального скрининг»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38436,50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7552,00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7717,00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7722,50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7722,50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7722,50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15291,00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2936,40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23145,50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4615,60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4632,10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4632,60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4632,60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4632,60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обследования новорожденных детей на наследственные заболевания (неонатальный скрининг), обследование беременных женщин: пренатальная (дородовая) диагностика нарушений развития ребенка»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21446,50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21446,50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16990,00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3262,70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3427,70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3433,20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3433,20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3433,20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15291,00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2936,40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3084,90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1699,00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326,30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342,80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3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за счет средств областного бюджета»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4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Укрепление репродуктивного здоровья, сокращение числа абортов, применение вспомогательных репродуктивных технологий»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 «Реализация комплекса мероприятий по развитию медицинской реабилитации и санаторно-курортного лечения, в том числе детей»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Санаторное оздоровление детей, страдающих различными хроническими заболеваниями, состоящих на учете в лечебном учреждении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9425,00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«Организация кадрового обеспечения областных государственных учреждений здравоохранения»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287128,90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78585,70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287128,90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78585,70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273424,50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74498,90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273424,50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74498,90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  <w:t xml:space="preserve">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Социальная поддержка педагогических работников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3 «Выплата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13617,60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13617,60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«Стимулирование привлечения и закрепления медицинских работников, имеющих высшее и среднее медицинское образование»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135000,00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125820,00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еализация мероприятий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селенные пункты, либо рабочие поселки, либо поселки городского типа, либо города с населением до 50 тысяч человек»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135000,00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27000,00</w:t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125820,00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9180,00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«Переподготовка и повышение квалификации медицинских кадров»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Переподготовка и повышение квалификации медицинских кадров»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системы лекарственного обеспечения в амбулаторных условиях»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1542153,90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355986,00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294048,00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524469,70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104290,60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1017684,20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251695,40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3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945398,80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231650,00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178437,20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4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же детей, рожденных ВИЧ-инфицированными матерями, проживающих на территории Еврейской автономной области»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5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детей с сахарным диабетом 1-го типа в возрасте от 2 до 4 лет системами непрерывного мониторинга глюкозы»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416,90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416,90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375,20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375,20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6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детей с сахарным диабетом 1-го типа в возрасте от 4 до 17 лет включительно системами непрерывного мониторинга глюкозы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4936,80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4936,80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4433,10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4433,10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 7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граждан лекарственными препаратами, изделиями медицинского назначения в рамках Федерального закона от 17.07.1999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№ 178-ФЗ «О государственной социальной помощи», а также обеспечение продуктами лечебного питания для детей-инвалидов»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519651,40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99472,30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519651,40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99472,30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112692,80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49892,80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112692,80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49892,80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Техническая поддержка региональной медицинской информационной системы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109908,50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47108,50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109908,50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47108,50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Интеграция СПО «Исток» (подсистемы для обеспечения работы ОГБУЗ «Станция скорой медицинской помощи») с ГИСЗ «РМИС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2784,30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2784,30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2784,30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2784,30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«Совершенствование оказания паллиативной помощи взрослому населению и детям»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45284,70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8888,30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8326,90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9356,50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9356,50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9356,50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25372,10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4850,30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5115,30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19912,60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4038,00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3211,60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4221,00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больница»,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«Детская областная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«Онкологический диспансер»,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18063,80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3499,10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2885,10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18063,80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3499,10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2885,10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3893,20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100,2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«Детская областная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2624,90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2624,90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624,90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«Онкологический диспансер»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1673,00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8011,11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1201,80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987,50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8011,11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1201,80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987,50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5267,20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1199,50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987,60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5267,20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1199,50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987,60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ероприятие 2 «Обеспечение медицинских организаций,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изделиями, в том числе для использования на дому»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27220,90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5389,20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5441,80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5463,50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5463,50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5463,50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25372,10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4850,30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5115,30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5135,50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1848,80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538,90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326,50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160490,20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37931,00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30639,80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21205,80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4944,20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/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21205,80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4944,20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/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139284,40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32986,80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139284,40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32986,80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26574,70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7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«Предоставление услуг патолого-анатомическими отделениями областных учреждений здравоохранения»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(патолого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-анатомические отделения)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«Облученская районная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«Ленинская центральная районная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больница»,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21513,10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 (патолого-анатомические отделения)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15720,10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3742,90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15720,10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3742,90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«Облученская районная больница» (патолого-анатомические отделения)</w:t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324,60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324,60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«Ленинская центральная районная больница» (патолого-анатомические отделения)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683,60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683,60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/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 (патолого-анатомические отделения)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 (патолого-анатомические отделения)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2392,40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 «Страховые взносы на обязательное медицинское страхование неработающего населения»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Обязательное медицинское страхование неработающего населения»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5417386,10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1092348,40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1177809,40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1049076,10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 процессных мероприятий «Совершенствование системы оказания медицинской помощи больным прочими заболеваниями»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18547,60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3541,90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3725,40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3760,10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3760,10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3760,10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16698,50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3187,70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3358,50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3384,10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3384,10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3384,10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1849,10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354,20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366,90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1 «Профилактика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организаций»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1572,00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296,30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331,60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314,70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1416,10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283,20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283,20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283,20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155,90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2 «Закупка диагнос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Федерации»</w:t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3542,30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713,50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3186,80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608,40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641,00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645,80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645,80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645,80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355,50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72,50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Мероприятие 3 «Закупка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13433,30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2569,60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2680,30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2727,80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1095,60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2312,60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2417,70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2455,10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2455,10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2455,10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1377,70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257,00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262,60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272,70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 процессных мероприятий «Предоставление иного межбюджетного трансферта из средств областного бюджета бюджету территориального фо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иного межбюджетного трансферта из средств областного бюджета бюджету территориального 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58952,00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  процессных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309252,40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103933,30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1053193,10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300894,00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102894,00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8358,40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1039,30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1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 ремонтных работ в ОГБУЗ «Областная больница»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305319,10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105319,10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297000,00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Мероприятие 2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«Кульдур»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3933,30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3933,30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3894,00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3894,00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39,30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39,30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pStyle w:val="896"/>
        <w:jc w:val="center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jc w:val="center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4.3.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Финансовое обеспечение государственной программы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- 2028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по направлениям расходов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3702" w:type="dxa"/>
        <w:tblInd w:w="91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03"/>
        <w:gridCol w:w="1396"/>
        <w:gridCol w:w="1328"/>
        <w:gridCol w:w="1395"/>
        <w:gridCol w:w="1396"/>
        <w:gridCol w:w="1367"/>
        <w:gridCol w:w="13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1744841,30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486421,40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501828,40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330977,50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9882915,00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2223758,80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2045868,60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210752,10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133757,80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4837,20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1758,40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1534089,20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409427,10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368070,60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330977,50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9878077,80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2222000,40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2042789,80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top"/>
            <w:textDirection w:val="lrTb"/>
            <w:noWrap w:val="false"/>
          </w:tcPr>
          <w:p>
            <w:pPr>
              <w:pStyle w:val="896"/>
              <w:spacing w:after="0" w:afterAutospacing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III.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Прогноз сводных показателей государственных заданий на оказание государственных услуг (выполнение работ) государственными учреждениями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Еврейской автономной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r>
    </w:p>
    <w:p>
      <w:pPr>
        <w:pStyle w:val="895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по государственной программе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9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«Здравоохранение в Еврейской автономной области»  на 2024 – 2028 годы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74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192"/>
        <w:gridCol w:w="1132"/>
        <w:gridCol w:w="1132"/>
        <w:gridCol w:w="1132"/>
        <w:gridCol w:w="1099"/>
        <w:gridCol w:w="1165"/>
        <w:gridCol w:w="1132"/>
        <w:gridCol w:w="1132"/>
        <w:gridCol w:w="1132"/>
        <w:gridCol w:w="1132"/>
        <w:gridCol w:w="1132"/>
      </w:tblGrid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Наименование государственной услуги (работы), показателя объема услуги (работы)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5"/>
            <w:tcW w:w="5660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государственной услуги (работы)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5"/>
            <w:tcW w:w="5660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Расходы областного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оказание государственной услуги (выполнение работы),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65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9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65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92" w:type="dxa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Первичная медико-санитарная помощь,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 включенной в базовую программу ОМС, в части диагностики и лечения (профпатология)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амбулаторных условиях (ОГБУЗ «Областная  больница», ОГБУЗ «Смидовичская районная больница», ОГБУЗ «Николаевская районная больница»)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65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3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Показатель объема государственной услуги - 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число посещений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492,30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394,30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597,70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597,70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597,70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ОГБУЗ «Областная  больница»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292,30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234,30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234,30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234,30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234,30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121,90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97,50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300,90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300,90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300,90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78,10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62,50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62,50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62,50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62,50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>
          <w:trHeight w:val="2844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Первичная медико-санитарная помощь,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не  включенная в базовую программу ОМС, в части диагностики и лечения (венерология) в амбулаторных условиях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(ОГБУЗ «Кожно-венерологический диспансер»)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Показатели объема государственной услуги: число обращений (по поводу заболевания);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число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посещений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(с профилактическими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и иными целями)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8240,70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6613,20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6641,30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6641,30</w:t>
            </w:r>
            <w:r/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6641,30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Специализированная медицинская помощь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(за исключением высокотехнологичной медицинской помощи), включенная в базовую программу ОМС, гражданам РФ, не идентифицирован-ным и не застрахованным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в системе ОМС (ОГБУЗ «Областная больница»)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случай госпитализации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156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156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156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156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156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993,60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847,70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Скорая, в том числе скорая специализированная медицинская помощь (включая медицинскую эвакуацию), не включенная в базовую программу ОМС, а также оказание медицинской помощи при чрезвычайных ситуациях (ОГБУЗ «Станция скорой медицинской помощи»).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количество вызовов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всего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74379,70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74585,70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82441,90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82441,90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82441,90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скорая специализированная медицинская помощь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(за исключением санитарно-авиационной эвакуации)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7805,60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6303,60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9307,90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санитарно-авиационная эвакуация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66574,10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68282,10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73134,00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Патологическая анатомия (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«Облученская районная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«Ленинская центральная районная больница»,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«Смидовичская районная больница»,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количество вскрытий,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5090,20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4081,20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4113,90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3742,90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2994,30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78,00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162,80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/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/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130,20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Смидовичская районная больниц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569,60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455,70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Паллиативная медицинская помощь в стационарных условиях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«Детская областная больница»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ОГБУЗ «Смидовичская районная больница»,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количество койко-дней,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3865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3865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3865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3865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3865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2775,60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2274,60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3266,80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3266,80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3266,80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«Детская областная больница»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365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365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365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365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365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374,30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299,50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299,50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299,50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299,50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1201,80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987,50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1940,60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1199,50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987,60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1026,70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Паллиативная медицинская помощь в амбулаторных условия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х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«Областная больница»,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«Онкологический диспансер»)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число посещений,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705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705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705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705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705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233,80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210,60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220,70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220,70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220,70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«Областная больница»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462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462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462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462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462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93,50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100,20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ОГБУЗ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«Онкологический диспансер»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243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140,3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117,10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120,50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120,50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120,50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Паллиативная медицинская помощь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условия оказания: амбулаторно на дому выездными патронажными бригадами)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«Онкологический диспансер»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ОГБУЗ «Детская областная больница»)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количество выездов,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540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489,70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399,90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405,70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405,70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405,70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«Детская областная больница»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250,60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200,50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200,50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200,50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200,50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ОГБУЗ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«Онкологический диспансер»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239,1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199,40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205,20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205,20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205,20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Работы по профилактике неинфекционных заболеваний, формированию здорового образа жизни  санитарно-гигиеническому просвещению населения (ОГБУЗ «Областная больница»)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 количество мероприятий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7000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7000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7000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7000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7000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2535,60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2032,30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Специ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ализированная медицинская помощь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(за исключением высокотехнологичной медицинской помощи),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включенной в базовую программу ОМС, по профилю «Дерматовенерология»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(в части венерологии)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условиях дневных стационаров (ОГБУЗ «Кожно-венерологический диспансер»)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142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случай лечения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1000,60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814,90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836,50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836,50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836,50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Специ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ализированная медицинская помощь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(за исключением высокотехнологичной медицинской помощи),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включенная в базовую программу ОМС,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 профилю «Дерматовенерология»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(в части венерологии)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стационарных условиях (ОГБУЗ «Кожно-венерологический диспансер»)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случай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госпитализации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9059,10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7431,60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7431,60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7431,60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7431,60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Заготовка, хранение, транспортировка и обеспечение безопасности донорской крови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 ее компонентов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(ОГБУЗ «Станция переливания крови»)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 условная единица продукта, переработки (в перерасчете на 1 литр цельной крови)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57086,00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48623,00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50673,00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Судебно-медицинская экспертиза (ОГБУЗ «Бюро судебно-медицинской экспертизы»)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количество экспертиз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8455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8455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8455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8455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8455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45558,10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36964,90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Реализация образовательных программ среднего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профессионального образования – программ подготовки специалистов среднего звена по укрупненным группам направлений подготовки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 специальностей «Лечебное дело» и «Сестринское дело» (ОГПОБУ «Биробиджанский медицинский колледж»)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численность обучающихся (человек),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72871,7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48429,40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48429,40</w:t>
            </w:r>
            <w:r/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48429,40</w:t>
            </w:r>
            <w:r/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48429,40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 специальности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«Лечебное дело»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41252,80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27416,00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27416,00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27416,00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27416,00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 специальности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«Сестринское дело»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31618,90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21013,40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21013,40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21013,40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21013,40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Реализация дополнительных профессиональных программ повышения квалификации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(ОГПОБУ «Биробиджанский медицинский колледж»)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количество человеко-часов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29880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29880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29880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29880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29880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1627,20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1302,00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1302,00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1302,00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1302,00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Первичная медико-санитарная помощь,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не включенная в базовую программу ОМС, в части диагностики и лечения (психиатрия)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амбулаторных условиях (ОГБУЗ «Психиатрическая больница»)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обращение по поводу заболевания;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посещение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 профилактическими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 иными целями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5023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5023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5023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5023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5023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24282,40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19885,40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20017,00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20017,00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20017,00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31195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31195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31195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31195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31195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Первичная медико-санитарная помощь,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не включенной в базовую программу ОМС, в части диагностики и лечения (наркология),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амбулаторных условиях (ОГБУЗ «Психиатрическая больница»)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обращение по поводу заболевания;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посещение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 профилактическими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 иными целями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3350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3350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3350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3350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3350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20656,60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16916,10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17028,00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17028,00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17028,00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27460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27460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27460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27460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27460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Специализированная медицинская помощь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(за исключением высокотехнологичной медицинской помощи),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не включенная в базовую программу ОМС, по профилю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Психиатрия»,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условиях дневных стационаров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(ОГБУЗ «Психиатрическая больница»)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случай лечения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1301,10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1104,00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1164,80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1164,80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1164,80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Специализированная медицинская помощь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(за исключением высокотехнологичной медицинской помощи),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не включенная в базовую программу ОМС, по профилю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«Психиатрия-наркология» (в части наркологии), в условиях дневных стационаров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(ОГБУЗ «Психиатрическая больница»)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случай лечения</w:t>
            </w:r>
            <w:r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44,90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38,10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40,20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40,20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40,20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Специализированная медицинская помощь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(за исключением высокотехнологичной медицинской помощи)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не включенная в базовую программу ОМС, по профилю «Психиатрия»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стационарных условиях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(ОГБУЗ «Психиатрическая больница»)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случай госпитализации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95987,60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81281,50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81281,50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81281,50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81281,50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Специализированная медицинская помощь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(за исключением высокотехнологичной медицинской помощи)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не включенная в базовую программу ОМС,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 профилю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Психиатрия-наркология»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(в части наркологии)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стационарных условиях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(ОГБУЗ «Психиатрическая больница»)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случай госпитализации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100019,60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84695,70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84695,70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84695,70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84695,70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Первичная медико-санитарная помощь,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не включенной в базовую программу ОМС, в части диагностики и лечения (ВИЧ-инфекция)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амбулаторных условиях (ОГБЗ «Центр профилактки и борьбы со СПИД»)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обращение по поводу заболевания;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посещение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 профилактическими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 иными целями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590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16483,40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13631,80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894"/>
              <w:jc w:val="center"/>
              <w:spacing w:before="0" w:after="0" w:line="240" w:lineRule="auto"/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  <w:t xml:space="preserve">14137,20</w:t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5300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5300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5300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5300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5300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Первичная медико-санитарная помощь,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не включенная в базовую программу ОМС, в части диагностики и лечения (клиническая лабораторная диагностика),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амбулаторных условиях (ОГБЗ «Центр профилактки и борьбы со СПИД»)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услуги: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количество исследований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39328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39328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39328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39328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39328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Создание, хранение, использование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 восполнение резерва медицинских ресурсов для ликвидации медико-санитарных последствий чрезвычайных ситуаций (ОГБУЗ «Областная больница»)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отчет (единица)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4944,20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/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/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4065,40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Сбор и обработка статистической информации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(ОГБУЗ «Медицинский информационно-аналитический центр»)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</w:t>
            </w:r>
            <w:r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количество отчетов (единица)</w:t>
            </w:r>
            <w:r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4237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4237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4237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4237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4237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4069,80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3278,90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3278,90</w:t>
            </w:r>
            <w:r/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3278,90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3278,90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trHeight w:val="139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Ведение информационных ресурсов и баз данных (ОГБУЗ «Медицинский информационно-аналитический центр»)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 количество информационных ресурсов и баз данных (штука)</w:t>
            </w:r>
            <w:r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2908,00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2342,70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2342,70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2342,70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2342,70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Техническое сопровождение и эксплуатация, вывод из эксплуатации информационных систем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 компонентов информационно-телекоммуникационной инфраструктуры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(ОГБУЗ «Медицинский информационно-аналитический центр»)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 количество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баз данных типовой деятельности (единица); количество информационных систем специальной деятельности (единица)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1083,50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872,90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872,90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872,90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872,90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Осуществление работ по обеспечению требований информационной безопасности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(ОГБУЗ «Медицинский информационно-аналитический центр»)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количество центров обработки данных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8308,50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Предоставление программного обеспечения, инженерной, вычислительной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</w:p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и информационно-телекоммуникационной инфраструктуры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(ОГБУЗ «Медицинский информационно-аналитический центр»)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1057"/>
        </w:trPr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 количество информационных систем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8308,50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Обработка телефонных вызовов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(ОГБУЗ «Медицинский информационно-аналитический центр»)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92" w:type="dxa"/>
            <w:vMerge w:val="restart"/>
            <w:textDirection w:val="lrTb"/>
            <w:noWrap w:val="false"/>
          </w:tcPr>
          <w:p>
            <w:pPr>
              <w:pStyle w:val="89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Показатель объема государственной работы: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количество принятых вызовов (единица)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3516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3516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3516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099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3516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65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3516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8308,50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132" w:type="dxa"/>
            <w:vAlign w:val="bottom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6693,40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896"/>
        <w:jc w:val="center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panose1 w:val="020B0502040504020204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/>
    <w:r/>
  </w:p>
  <w:p>
    <w:pPr>
      <w:pStyle w:val="73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8"/>
    <w:next w:val="888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8"/>
    <w:next w:val="888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8"/>
    <w:next w:val="88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4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5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6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7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8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9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No Spacing"/>
    <w:basedOn w:val="888"/>
    <w:uiPriority w:val="1"/>
    <w:qFormat/>
    <w:pPr>
      <w:spacing w:after="0" w:line="240" w:lineRule="auto"/>
    </w:pPr>
  </w:style>
  <w:style w:type="paragraph" w:styleId="892">
    <w:name w:val="List Paragraph"/>
    <w:basedOn w:val="888"/>
    <w:uiPriority w:val="34"/>
    <w:qFormat/>
    <w:pPr>
      <w:contextualSpacing/>
      <w:ind w:left="720"/>
    </w:pPr>
  </w:style>
  <w:style w:type="character" w:styleId="893" w:default="1">
    <w:name w:val="Default Paragraph Font"/>
    <w:uiPriority w:val="1"/>
    <w:semiHidden/>
    <w:unhideWhenUsed/>
  </w:style>
  <w:style w:type="paragraph" w:styleId="894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5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hyperlink" Target="https://login.consultant.ru/link/?req=doc&amp;base=LAW&amp;n=358026" TargetMode="External"/><Relationship Id="rId16" Type="http://schemas.openxmlformats.org/officeDocument/2006/relationships/hyperlink" Target="https://login.consultant.ru/link/?req=doc&amp;base=LAW&amp;n=443077" TargetMode="External"/><Relationship Id="rId17" Type="http://schemas.openxmlformats.org/officeDocument/2006/relationships/hyperlink" Target="https://login.consultant.ru/link/?req=doc&amp;base=LAW&amp;n=357927" TargetMode="External"/><Relationship Id="rId18" Type="http://schemas.openxmlformats.org/officeDocument/2006/relationships/hyperlink" Target="https://login.consultant.ru/link/?req=doc&amp;base=LAW&amp;n=389271" TargetMode="External"/><Relationship Id="rId19" Type="http://schemas.openxmlformats.org/officeDocument/2006/relationships/hyperlink" Target="https://login.consultant.ru/link/?req=doc&amp;base=LAW&amp;n=311873&amp;dst=100008" TargetMode="External"/><Relationship Id="rId20" Type="http://schemas.openxmlformats.org/officeDocument/2006/relationships/hyperlink" Target="https://login.consultant.ru/link/?req=doc&amp;base=LAW&amp;n=372322&amp;dst=100009" TargetMode="External"/><Relationship Id="rId21" Type="http://schemas.openxmlformats.org/officeDocument/2006/relationships/hyperlink" Target="https://login.consultant.ru/link/?req=doc&amp;base=LAW&amp;n=411709&amp;dst=100006" TargetMode="External"/><Relationship Id="rId22" Type="http://schemas.openxmlformats.org/officeDocument/2006/relationships/hyperlink" Target="https://login.consultant.ru/link/?req=doc&amp;base=LAW&amp;n=389271&amp;dst=100013" TargetMode="External"/><Relationship Id="rId23" Type="http://schemas.openxmlformats.org/officeDocument/2006/relationships/hyperlink" Target="consultantplus://offline/ref=1CA82E8FD9D12E1F2FB48F78C79905B8F159FA4F0BB4F561352A492F23E9C005B1C318A545B7E6BD2D31FD6192K4FEI" TargetMode="External"/><Relationship Id="rId24" Type="http://schemas.openxmlformats.org/officeDocument/2006/relationships/hyperlink" Target="consultantplus://offline/ref=1CA82E8FD9D12E1F2FB48F78C79905B8F159FA4F0BB4F561352A492F23E9C005B1C318A545B7E6BD2D31FD6192K4FE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2024-02-20T22:12:57Z</dcterms:modified>
</cp:coreProperties>
</file>